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AA326" w14:textId="29E3D806" w:rsidR="001B79F0" w:rsidRPr="00B55935" w:rsidRDefault="001B79F0" w:rsidP="001B79F0">
      <w:pPr>
        <w:pStyle w:val="a5"/>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#90b</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ED1A3D">
        <w:rPr>
          <w:rFonts w:ascii="Calibri" w:eastAsia="新細明體" w:hAnsi="Calibri" w:cs="Arial"/>
          <w:noProof w:val="0"/>
          <w:sz w:val="24"/>
          <w:szCs w:val="24"/>
          <w:lang w:eastAsia="ja-JP"/>
        </w:rPr>
        <w:t>3904</w:t>
      </w:r>
    </w:p>
    <w:p w14:paraId="3381B7DB" w14:textId="77777777" w:rsidR="001B79F0" w:rsidRPr="00FE72F2" w:rsidRDefault="001B79F0" w:rsidP="001B79F0">
      <w:pPr>
        <w:tabs>
          <w:tab w:val="left" w:pos="1985"/>
        </w:tabs>
        <w:jc w:val="both"/>
        <w:rPr>
          <w:rFonts w:ascii="Calibri" w:eastAsia="新細明體" w:hAnsi="Calibri"/>
          <w:sz w:val="24"/>
        </w:rPr>
      </w:pPr>
      <w:r>
        <w:rPr>
          <w:rFonts w:ascii="Calibri" w:eastAsia="新細明體" w:hAnsi="Calibri" w:cs="Arial"/>
          <w:b/>
          <w:sz w:val="24"/>
          <w:szCs w:val="24"/>
          <w:lang w:eastAsia="ja-JP"/>
        </w:rPr>
        <w:t>Xi’an</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China</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April 8</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12</w:t>
      </w:r>
      <w:r w:rsidRPr="00C70DC2">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14:paraId="1CAD8A83" w14:textId="5AD5C10F"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B1296C">
        <w:rPr>
          <w:rFonts w:cs="Arial"/>
          <w:b/>
          <w:bCs/>
        </w:rPr>
        <w:t>6.10.6.2.3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74D2EC1" w:rsidR="00174EC2" w:rsidRDefault="0034111C" w:rsidP="007A4FCF">
      <w:pPr>
        <w:ind w:left="1985" w:hanging="1985"/>
        <w:rPr>
          <w:rFonts w:cs="Arial"/>
          <w:b/>
          <w:bCs/>
        </w:rPr>
      </w:pPr>
      <w:r w:rsidRPr="000C45FD">
        <w:rPr>
          <w:rFonts w:cs="Arial"/>
          <w:b/>
          <w:bCs/>
        </w:rPr>
        <w:t>Title:</w:t>
      </w:r>
      <w:r w:rsidRPr="000C45FD">
        <w:rPr>
          <w:rFonts w:cs="Arial"/>
          <w:b/>
          <w:bCs/>
        </w:rPr>
        <w:tab/>
      </w:r>
      <w:r w:rsidR="00DA352F">
        <w:rPr>
          <w:rFonts w:cs="Arial"/>
          <w:b/>
          <w:bCs/>
        </w:rPr>
        <w:t xml:space="preserve">MRTD and MTTD of </w:t>
      </w:r>
      <w:r w:rsidR="00967F64">
        <w:rPr>
          <w:rFonts w:cs="Arial"/>
          <w:b/>
          <w:bCs/>
        </w:rPr>
        <w:t xml:space="preserve">FR2 intra-band NCCA </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766E9C27" w14:textId="43E8ECE6" w:rsidR="00F712E8" w:rsidRPr="00F712E8" w:rsidRDefault="00F712E8" w:rsidP="005E4A4F">
      <w:pPr>
        <w:jc w:val="both"/>
        <w:rPr>
          <w:rFonts w:eastAsia="新細明體"/>
        </w:rPr>
      </w:pPr>
      <w:r>
        <w:rPr>
          <w:rFonts w:eastAsia="新細明體" w:hint="eastAsia"/>
        </w:rPr>
        <w:t xml:space="preserve">In last </w:t>
      </w:r>
      <w:r>
        <w:rPr>
          <w:rFonts w:eastAsia="新細明體"/>
        </w:rPr>
        <w:t>RAN4 meeting, the MRTD requirement for NCCA was discussed. It was agreed in the chairman’s note to capture options for further discussion</w:t>
      </w:r>
      <w:r w:rsidR="00B703AE">
        <w:rPr>
          <w:rFonts w:eastAsia="新細明體"/>
        </w:rPr>
        <w:t xml:space="preserve">. </w:t>
      </w:r>
      <w:r>
        <w:rPr>
          <w:rFonts w:eastAsia="新細明體"/>
        </w:rPr>
        <w:t>In</w:t>
      </w:r>
      <w:r>
        <w:rPr>
          <w:rFonts w:eastAsia="新細明體" w:hint="eastAsia"/>
        </w:rPr>
        <w:t xml:space="preserve"> this paper, we provide our view on this open issue.</w:t>
      </w:r>
      <w:r>
        <w:rPr>
          <w:rFonts w:eastAsia="新細明體"/>
        </w:rPr>
        <w:t xml:space="preserve"> This paper is </w:t>
      </w:r>
      <w:r w:rsidR="000E0F3C">
        <w:rPr>
          <w:rFonts w:eastAsia="新細明體"/>
        </w:rPr>
        <w:t>a</w:t>
      </w:r>
      <w:r>
        <w:rPr>
          <w:rFonts w:eastAsia="新細明體"/>
        </w:rPr>
        <w:t xml:space="preserve"> re-submission of R4-1900515 with modifications.</w:t>
      </w:r>
      <w:bookmarkStart w:id="0" w:name="_GoBack"/>
      <w:bookmarkEnd w:id="0"/>
      <w:r>
        <w:rPr>
          <w:rFonts w:eastAsia="新細明體"/>
        </w:rPr>
        <w:t xml:space="preserve"> </w:t>
      </w:r>
    </w:p>
    <w:p w14:paraId="3A8ACA84" w14:textId="4D36E201" w:rsidR="0091441D" w:rsidRDefault="0091441D" w:rsidP="0091441D">
      <w:pPr>
        <w:pStyle w:val="1"/>
        <w:numPr>
          <w:ilvl w:val="0"/>
          <w:numId w:val="2"/>
        </w:numPr>
        <w:rPr>
          <w:rFonts w:ascii="Calibri" w:hAnsi="Calibri"/>
        </w:rPr>
      </w:pPr>
      <w:r w:rsidRPr="0091441D">
        <w:rPr>
          <w:rFonts w:ascii="Calibri" w:hAnsi="Calibri"/>
        </w:rPr>
        <w:t>Discussion</w:t>
      </w:r>
    </w:p>
    <w:p w14:paraId="60301AEF" w14:textId="617154F2" w:rsidR="00BE4CCA" w:rsidRDefault="00967F64" w:rsidP="00954066">
      <w:pPr>
        <w:rPr>
          <w:lang w:val="en-GB" w:eastAsia="en-US"/>
        </w:rPr>
      </w:pPr>
      <w:r>
        <w:rPr>
          <w:lang w:val="en-GB" w:eastAsia="en-US"/>
        </w:rPr>
        <w:t xml:space="preserve">Current MRTD requirement of FR2 </w:t>
      </w:r>
      <w:r w:rsidRPr="00967F64">
        <w:rPr>
          <w:lang w:val="en-GB" w:eastAsia="en-US"/>
        </w:rPr>
        <w:t xml:space="preserve">intra-band NCCA </w:t>
      </w:r>
      <w:r>
        <w:rPr>
          <w:lang w:val="en-GB" w:eastAsia="en-US"/>
        </w:rPr>
        <w:t>is agreed in Table 7.6.4-1 in TS38.133, as copied below. The requirement is 3us.</w:t>
      </w:r>
    </w:p>
    <w:tbl>
      <w:tblPr>
        <w:tblStyle w:val="af7"/>
        <w:tblW w:w="0" w:type="auto"/>
        <w:tblInd w:w="846" w:type="dxa"/>
        <w:tblLook w:val="04A0" w:firstRow="1" w:lastRow="0" w:firstColumn="1" w:lastColumn="0" w:noHBand="0" w:noVBand="1"/>
      </w:tblPr>
      <w:tblGrid>
        <w:gridCol w:w="7938"/>
      </w:tblGrid>
      <w:tr w:rsidR="00967F64" w14:paraId="60E6ABF1" w14:textId="77777777" w:rsidTr="00967F64">
        <w:tc>
          <w:tcPr>
            <w:tcW w:w="7938" w:type="dxa"/>
          </w:tcPr>
          <w:p w14:paraId="0C5F2DEC" w14:textId="77777777" w:rsidR="00967F64" w:rsidRPr="00967F64" w:rsidRDefault="00967F64" w:rsidP="00967F64">
            <w:pPr>
              <w:pStyle w:val="TH"/>
              <w:spacing w:after="0"/>
              <w:rPr>
                <w:rFonts w:eastAsia="Malgun Gothic"/>
                <w:snapToGrid w:val="0"/>
                <w:sz w:val="20"/>
                <w:szCs w:val="20"/>
                <w:lang w:eastAsia="ko-KR"/>
              </w:rPr>
            </w:pPr>
            <w:r w:rsidRPr="00967F64">
              <w:rPr>
                <w:snapToGrid w:val="0"/>
                <w:sz w:val="20"/>
                <w:szCs w:val="20"/>
              </w:rPr>
              <w:t>Table 7.6.</w:t>
            </w:r>
            <w:r w:rsidRPr="00967F64">
              <w:rPr>
                <w:rFonts w:eastAsia="Malgun Gothic" w:hint="eastAsia"/>
                <w:snapToGrid w:val="0"/>
                <w:sz w:val="20"/>
                <w:szCs w:val="20"/>
              </w:rPr>
              <w:t>4</w:t>
            </w:r>
            <w:r w:rsidRPr="00967F64">
              <w:rPr>
                <w:snapToGrid w:val="0"/>
                <w:sz w:val="20"/>
                <w:szCs w:val="20"/>
              </w:rPr>
              <w:t>-</w:t>
            </w:r>
            <w:r w:rsidRPr="00967F64">
              <w:rPr>
                <w:rFonts w:eastAsia="Malgun Gothic" w:hint="eastAsia"/>
                <w:snapToGrid w:val="0"/>
                <w:sz w:val="20"/>
                <w:szCs w:val="20"/>
              </w:rPr>
              <w:t>1</w:t>
            </w:r>
            <w:r w:rsidRPr="00967F64">
              <w:rPr>
                <w:rFonts w:eastAsia="Malgun Gothic" w:hint="eastAsia"/>
                <w:snapToGrid w:val="0"/>
                <w:sz w:val="20"/>
                <w:szCs w:val="20"/>
                <w:lang w:eastAsia="ko-KR"/>
              </w:rPr>
              <w:t>:</w:t>
            </w:r>
            <w:r w:rsidRPr="00967F64">
              <w:rPr>
                <w:snapToGrid w:val="0"/>
                <w:sz w:val="20"/>
                <w:szCs w:val="2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268"/>
            </w:tblGrid>
            <w:tr w:rsidR="00967F64" w:rsidRPr="00967F64" w14:paraId="0D8D2B3A" w14:textId="77777777" w:rsidTr="00967F64">
              <w:trPr>
                <w:jc w:val="center"/>
              </w:trPr>
              <w:tc>
                <w:tcPr>
                  <w:tcW w:w="1247" w:type="dxa"/>
                  <w:shd w:val="clear" w:color="auto" w:fill="auto"/>
                </w:tcPr>
                <w:p w14:paraId="3A716364" w14:textId="77777777" w:rsidR="00967F64" w:rsidRPr="00967F64" w:rsidRDefault="00967F64" w:rsidP="00967F64">
                  <w:pPr>
                    <w:pStyle w:val="TAH"/>
                    <w:spacing w:after="0"/>
                    <w:rPr>
                      <w:sz w:val="20"/>
                    </w:rPr>
                  </w:pPr>
                  <w:r w:rsidRPr="00967F64">
                    <w:rPr>
                      <w:sz w:val="20"/>
                    </w:rPr>
                    <w:t>Frequency Range</w:t>
                  </w:r>
                </w:p>
              </w:tc>
              <w:tc>
                <w:tcPr>
                  <w:tcW w:w="2268" w:type="dxa"/>
                  <w:shd w:val="clear" w:color="auto" w:fill="auto"/>
                </w:tcPr>
                <w:p w14:paraId="2AFED70F" w14:textId="77777777" w:rsidR="00967F64" w:rsidRPr="00967F64" w:rsidRDefault="00967F64" w:rsidP="00967F64">
                  <w:pPr>
                    <w:pStyle w:val="TAH"/>
                    <w:spacing w:after="0"/>
                    <w:rPr>
                      <w:sz w:val="20"/>
                    </w:rPr>
                  </w:pPr>
                  <w:r w:rsidRPr="00967F64">
                    <w:rPr>
                      <w:sz w:val="20"/>
                    </w:rPr>
                    <w:t xml:space="preserve">Maximum receive timing difference (µs) </w:t>
                  </w:r>
                </w:p>
              </w:tc>
            </w:tr>
            <w:tr w:rsidR="00967F64" w:rsidRPr="00967F64" w14:paraId="6CB52882" w14:textId="77777777" w:rsidTr="00967F64">
              <w:trPr>
                <w:jc w:val="center"/>
              </w:trPr>
              <w:tc>
                <w:tcPr>
                  <w:tcW w:w="1247" w:type="dxa"/>
                  <w:shd w:val="clear" w:color="auto" w:fill="auto"/>
                </w:tcPr>
                <w:p w14:paraId="7BBFFC33" w14:textId="77777777" w:rsidR="00967F64" w:rsidRPr="00967F64" w:rsidRDefault="00967F64" w:rsidP="00967F64">
                  <w:pPr>
                    <w:pStyle w:val="TAC"/>
                    <w:spacing w:after="0"/>
                    <w:rPr>
                      <w:sz w:val="20"/>
                    </w:rPr>
                  </w:pPr>
                  <w:r w:rsidRPr="00967F64">
                    <w:rPr>
                      <w:sz w:val="20"/>
                    </w:rPr>
                    <w:t>FR1</w:t>
                  </w:r>
                </w:p>
              </w:tc>
              <w:tc>
                <w:tcPr>
                  <w:tcW w:w="2268" w:type="dxa"/>
                  <w:shd w:val="clear" w:color="auto" w:fill="auto"/>
                </w:tcPr>
                <w:p w14:paraId="0F3B3035" w14:textId="77777777" w:rsidR="00967F64" w:rsidRPr="00967F64" w:rsidRDefault="00967F64" w:rsidP="00967F64">
                  <w:pPr>
                    <w:pStyle w:val="TAC"/>
                    <w:spacing w:after="0"/>
                    <w:rPr>
                      <w:sz w:val="20"/>
                    </w:rPr>
                  </w:pPr>
                  <w:r w:rsidRPr="00967F64">
                    <w:rPr>
                      <w:sz w:val="20"/>
                    </w:rPr>
                    <w:t>3</w:t>
                  </w:r>
                </w:p>
              </w:tc>
            </w:tr>
            <w:tr w:rsidR="00967F64" w:rsidRPr="00967F64" w14:paraId="2EC2309A" w14:textId="77777777" w:rsidTr="00967F64">
              <w:trPr>
                <w:jc w:val="center"/>
              </w:trPr>
              <w:tc>
                <w:tcPr>
                  <w:tcW w:w="1247" w:type="dxa"/>
                  <w:shd w:val="clear" w:color="auto" w:fill="auto"/>
                </w:tcPr>
                <w:p w14:paraId="7CDFF976" w14:textId="77777777" w:rsidR="00967F64" w:rsidRPr="00967F64" w:rsidRDefault="00967F64" w:rsidP="00967F64">
                  <w:pPr>
                    <w:pStyle w:val="TAC"/>
                    <w:spacing w:after="0"/>
                    <w:rPr>
                      <w:sz w:val="20"/>
                    </w:rPr>
                  </w:pPr>
                  <w:r w:rsidRPr="00967F64">
                    <w:rPr>
                      <w:sz w:val="20"/>
                    </w:rPr>
                    <w:t>FR2</w:t>
                  </w:r>
                </w:p>
              </w:tc>
              <w:tc>
                <w:tcPr>
                  <w:tcW w:w="2268" w:type="dxa"/>
                  <w:shd w:val="clear" w:color="auto" w:fill="auto"/>
                </w:tcPr>
                <w:p w14:paraId="377215FC" w14:textId="77777777" w:rsidR="00967F64" w:rsidRPr="00967F64" w:rsidRDefault="00967F64" w:rsidP="00967F64">
                  <w:pPr>
                    <w:pStyle w:val="TAC"/>
                    <w:spacing w:after="0"/>
                    <w:rPr>
                      <w:sz w:val="20"/>
                    </w:rPr>
                  </w:pPr>
                  <w:r w:rsidRPr="00967F64">
                    <w:rPr>
                      <w:sz w:val="20"/>
                    </w:rPr>
                    <w:t>3</w:t>
                  </w:r>
                </w:p>
              </w:tc>
            </w:tr>
          </w:tbl>
          <w:p w14:paraId="71D3AED2" w14:textId="77777777" w:rsidR="00967F64" w:rsidRDefault="00967F64" w:rsidP="00954066">
            <w:pPr>
              <w:rPr>
                <w:lang w:val="en-GB" w:eastAsia="en-US"/>
              </w:rPr>
            </w:pPr>
          </w:p>
        </w:tc>
      </w:tr>
    </w:tbl>
    <w:p w14:paraId="6F92BC3C" w14:textId="77777777" w:rsidR="00967F64" w:rsidRDefault="00967F64" w:rsidP="00954066">
      <w:pPr>
        <w:rPr>
          <w:lang w:val="en-GB" w:eastAsia="en-US"/>
        </w:rPr>
      </w:pPr>
    </w:p>
    <w:p w14:paraId="491DCCA8" w14:textId="1D51F6CA" w:rsidR="00725FE9" w:rsidRDefault="00725FE9" w:rsidP="00CC06A3">
      <w:pPr>
        <w:jc w:val="both"/>
        <w:rPr>
          <w:lang w:val="en-GB" w:eastAsia="en-US"/>
        </w:rPr>
      </w:pPr>
      <w:r>
        <w:rPr>
          <w:lang w:val="en-GB" w:eastAsia="en-US"/>
        </w:rPr>
        <w:t xml:space="preserve">On the other hand, the OFDM symbol and CP lengths for different </w:t>
      </w:r>
      <w:r w:rsidR="00DA6725">
        <w:rPr>
          <w:lang w:val="en-GB" w:eastAsia="en-US"/>
        </w:rPr>
        <w:t>SCS</w:t>
      </w:r>
      <w:r>
        <w:rPr>
          <w:lang w:val="en-GB" w:eastAsia="en-US"/>
        </w:rPr>
        <w:t xml:space="preserve"> is provided in </w:t>
      </w:r>
      <w:r w:rsidR="00DA6725">
        <w:rPr>
          <w:lang w:val="en-GB" w:eastAsia="en-US"/>
        </w:rPr>
        <w:fldChar w:fldCharType="begin"/>
      </w:r>
      <w:r w:rsidR="00DA6725">
        <w:rPr>
          <w:lang w:val="en-GB" w:eastAsia="en-US"/>
        </w:rPr>
        <w:instrText xml:space="preserve"> REF _Ref528520594 \h </w:instrText>
      </w:r>
      <w:r w:rsidR="00DA6725">
        <w:rPr>
          <w:lang w:val="en-GB" w:eastAsia="en-US"/>
        </w:rPr>
      </w:r>
      <w:r w:rsidR="00DA6725">
        <w:rPr>
          <w:lang w:val="en-GB" w:eastAsia="en-US"/>
        </w:rPr>
        <w:fldChar w:fldCharType="separate"/>
      </w:r>
      <w:r w:rsidR="00DA6725">
        <w:t xml:space="preserve">Table </w:t>
      </w:r>
      <w:r w:rsidR="00DA6725">
        <w:rPr>
          <w:noProof/>
        </w:rPr>
        <w:t>1</w:t>
      </w:r>
      <w:r w:rsidR="00DA6725">
        <w:rPr>
          <w:lang w:val="en-GB" w:eastAsia="en-US"/>
        </w:rPr>
        <w:fldChar w:fldCharType="end"/>
      </w:r>
      <w:r w:rsidR="00DA6725">
        <w:rPr>
          <w:lang w:val="en-GB" w:eastAsia="en-US"/>
        </w:rPr>
        <w:t>. For FR2, the CP lengths are 1.17us, 0.59us and 0.295us for SCS 60KHz, 120KHz and 240KHz, respectively.</w:t>
      </w:r>
    </w:p>
    <w:p w14:paraId="11B1F162" w14:textId="4570D715" w:rsidR="00725FE9" w:rsidRPr="00725FE9" w:rsidRDefault="00725FE9" w:rsidP="00725FE9">
      <w:pPr>
        <w:pStyle w:val="af1"/>
        <w:jc w:val="center"/>
        <w:rPr>
          <w:lang w:val="en-US" w:eastAsia="en-US"/>
        </w:rPr>
      </w:pPr>
      <w:bookmarkStart w:id="1" w:name="_Ref528520594"/>
      <w:r>
        <w:t xml:space="preserve">Table </w:t>
      </w:r>
      <w:r w:rsidR="002F6ABF">
        <w:fldChar w:fldCharType="begin"/>
      </w:r>
      <w:r w:rsidR="002F6ABF">
        <w:instrText xml:space="preserve"> SEQ Table \* ARABIC </w:instrText>
      </w:r>
      <w:r w:rsidR="002F6ABF">
        <w:fldChar w:fldCharType="separate"/>
      </w:r>
      <w:r>
        <w:rPr>
          <w:noProof/>
        </w:rPr>
        <w:t>1</w:t>
      </w:r>
      <w:r w:rsidR="002F6ABF">
        <w:rPr>
          <w:noProof/>
        </w:rPr>
        <w:fldChar w:fldCharType="end"/>
      </w:r>
      <w:bookmarkEnd w:id="1"/>
      <w:r>
        <w:rPr>
          <w:lang w:val="en-US"/>
        </w:rPr>
        <w:t xml:space="preserve"> OFDM symbol length and CP length for different SCS</w:t>
      </w:r>
    </w:p>
    <w:tbl>
      <w:tblPr>
        <w:tblStyle w:val="af7"/>
        <w:tblW w:w="0" w:type="auto"/>
        <w:jc w:val="center"/>
        <w:tblLook w:val="04A0" w:firstRow="1" w:lastRow="0" w:firstColumn="1" w:lastColumn="0" w:noHBand="0" w:noVBand="1"/>
      </w:tblPr>
      <w:tblGrid>
        <w:gridCol w:w="2098"/>
        <w:gridCol w:w="794"/>
        <w:gridCol w:w="794"/>
        <w:gridCol w:w="794"/>
        <w:gridCol w:w="794"/>
        <w:gridCol w:w="794"/>
      </w:tblGrid>
      <w:tr w:rsidR="008A4C2D" w:rsidRPr="008A4C2D" w14:paraId="40C4D763" w14:textId="77777777" w:rsidTr="008A4C2D">
        <w:trPr>
          <w:jc w:val="center"/>
        </w:trPr>
        <w:tc>
          <w:tcPr>
            <w:tcW w:w="2098" w:type="dxa"/>
          </w:tcPr>
          <w:p w14:paraId="12B69D02" w14:textId="031EF3CB" w:rsidR="00725FE9" w:rsidRPr="008A4C2D" w:rsidRDefault="00725FE9" w:rsidP="00725FE9">
            <w:pPr>
              <w:pStyle w:val="afc"/>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SCS (KHz)</w:t>
            </w:r>
          </w:p>
        </w:tc>
        <w:tc>
          <w:tcPr>
            <w:tcW w:w="794" w:type="dxa"/>
          </w:tcPr>
          <w:p w14:paraId="02B2212F" w14:textId="4FF80F3D" w:rsidR="00725FE9" w:rsidRPr="008A4C2D" w:rsidRDefault="00725FE9" w:rsidP="00725FE9">
            <w:pPr>
              <w:spacing w:after="0"/>
              <w:jc w:val="center"/>
              <w:rPr>
                <w:lang w:val="en-GB" w:eastAsia="en-US"/>
              </w:rPr>
            </w:pPr>
            <w:r w:rsidRPr="008A4C2D">
              <w:rPr>
                <w:lang w:val="en-GB" w:eastAsia="en-US"/>
              </w:rPr>
              <w:t>15</w:t>
            </w:r>
          </w:p>
        </w:tc>
        <w:tc>
          <w:tcPr>
            <w:tcW w:w="794" w:type="dxa"/>
          </w:tcPr>
          <w:p w14:paraId="06AFB82F" w14:textId="13EEEC9D" w:rsidR="00725FE9" w:rsidRPr="008A4C2D" w:rsidRDefault="00725FE9" w:rsidP="00725FE9">
            <w:pPr>
              <w:spacing w:after="0"/>
              <w:jc w:val="center"/>
              <w:rPr>
                <w:lang w:val="en-GB" w:eastAsia="en-US"/>
              </w:rPr>
            </w:pPr>
            <w:r w:rsidRPr="008A4C2D">
              <w:rPr>
                <w:lang w:val="en-GB" w:eastAsia="en-US"/>
              </w:rPr>
              <w:t>30</w:t>
            </w:r>
          </w:p>
        </w:tc>
        <w:tc>
          <w:tcPr>
            <w:tcW w:w="794" w:type="dxa"/>
          </w:tcPr>
          <w:p w14:paraId="1E3987B8" w14:textId="05A1315A" w:rsidR="00725FE9" w:rsidRPr="008A4C2D" w:rsidRDefault="00725FE9" w:rsidP="00725FE9">
            <w:pPr>
              <w:spacing w:after="0"/>
              <w:jc w:val="center"/>
              <w:rPr>
                <w:lang w:val="en-GB" w:eastAsia="en-US"/>
              </w:rPr>
            </w:pPr>
            <w:r w:rsidRPr="008A4C2D">
              <w:rPr>
                <w:lang w:val="en-GB" w:eastAsia="en-US"/>
              </w:rPr>
              <w:t>60</w:t>
            </w:r>
          </w:p>
        </w:tc>
        <w:tc>
          <w:tcPr>
            <w:tcW w:w="794" w:type="dxa"/>
          </w:tcPr>
          <w:p w14:paraId="2018617F" w14:textId="3C6B90DD" w:rsidR="00725FE9" w:rsidRPr="008A4C2D" w:rsidRDefault="00725FE9" w:rsidP="00725FE9">
            <w:pPr>
              <w:spacing w:after="0"/>
              <w:jc w:val="center"/>
              <w:rPr>
                <w:lang w:val="en-GB" w:eastAsia="en-US"/>
              </w:rPr>
            </w:pPr>
            <w:r w:rsidRPr="008A4C2D">
              <w:rPr>
                <w:lang w:val="en-GB" w:eastAsia="en-US"/>
              </w:rPr>
              <w:t>120</w:t>
            </w:r>
          </w:p>
        </w:tc>
        <w:tc>
          <w:tcPr>
            <w:tcW w:w="794" w:type="dxa"/>
          </w:tcPr>
          <w:p w14:paraId="6261108D" w14:textId="15CEC8C4" w:rsidR="00725FE9" w:rsidRPr="008A4C2D" w:rsidRDefault="00725FE9" w:rsidP="00725FE9">
            <w:pPr>
              <w:spacing w:after="0"/>
              <w:jc w:val="center"/>
              <w:rPr>
                <w:lang w:val="en-GB" w:eastAsia="en-US"/>
              </w:rPr>
            </w:pPr>
            <w:r w:rsidRPr="008A4C2D">
              <w:rPr>
                <w:lang w:val="en-GB" w:eastAsia="en-US"/>
              </w:rPr>
              <w:t>240</w:t>
            </w:r>
          </w:p>
        </w:tc>
      </w:tr>
      <w:tr w:rsidR="008A4C2D" w:rsidRPr="008A4C2D" w14:paraId="3C8B21D3" w14:textId="77777777" w:rsidTr="008A4C2D">
        <w:trPr>
          <w:jc w:val="center"/>
        </w:trPr>
        <w:tc>
          <w:tcPr>
            <w:tcW w:w="2098" w:type="dxa"/>
          </w:tcPr>
          <w:p w14:paraId="7FE0ACA3" w14:textId="132BC44A" w:rsidR="00725FE9" w:rsidRPr="008A4C2D" w:rsidRDefault="00725FE9" w:rsidP="00725FE9">
            <w:pPr>
              <w:pStyle w:val="afc"/>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Symbol duration (us)</w:t>
            </w:r>
          </w:p>
        </w:tc>
        <w:tc>
          <w:tcPr>
            <w:tcW w:w="794" w:type="dxa"/>
          </w:tcPr>
          <w:p w14:paraId="694BD6AF" w14:textId="77777777" w:rsidR="00725FE9" w:rsidRPr="008A4C2D" w:rsidRDefault="00725FE9" w:rsidP="00725FE9">
            <w:pPr>
              <w:spacing w:after="0"/>
              <w:jc w:val="center"/>
              <w:rPr>
                <w:lang w:val="en-GB" w:eastAsia="en-US"/>
              </w:rPr>
            </w:pPr>
            <w:r w:rsidRPr="008A4C2D">
              <w:rPr>
                <w:lang w:val="en-GB" w:eastAsia="en-US"/>
              </w:rPr>
              <w:t>66.66</w:t>
            </w:r>
          </w:p>
        </w:tc>
        <w:tc>
          <w:tcPr>
            <w:tcW w:w="794" w:type="dxa"/>
          </w:tcPr>
          <w:p w14:paraId="1D77DFF4" w14:textId="77777777" w:rsidR="00725FE9" w:rsidRPr="008A4C2D" w:rsidRDefault="00725FE9" w:rsidP="00725FE9">
            <w:pPr>
              <w:spacing w:after="0"/>
              <w:jc w:val="center"/>
              <w:rPr>
                <w:lang w:val="en-GB" w:eastAsia="en-US"/>
              </w:rPr>
            </w:pPr>
            <w:r w:rsidRPr="008A4C2D">
              <w:rPr>
                <w:lang w:val="en-GB" w:eastAsia="en-US"/>
              </w:rPr>
              <w:t>33.33</w:t>
            </w:r>
          </w:p>
        </w:tc>
        <w:tc>
          <w:tcPr>
            <w:tcW w:w="794" w:type="dxa"/>
          </w:tcPr>
          <w:p w14:paraId="1AD74818" w14:textId="77777777" w:rsidR="00725FE9" w:rsidRPr="008A4C2D" w:rsidRDefault="00725FE9" w:rsidP="00725FE9">
            <w:pPr>
              <w:spacing w:after="0"/>
              <w:jc w:val="center"/>
              <w:rPr>
                <w:lang w:val="en-GB" w:eastAsia="en-US"/>
              </w:rPr>
            </w:pPr>
            <w:r w:rsidRPr="008A4C2D">
              <w:rPr>
                <w:lang w:val="en-GB" w:eastAsia="en-US"/>
              </w:rPr>
              <w:t>16.67</w:t>
            </w:r>
          </w:p>
        </w:tc>
        <w:tc>
          <w:tcPr>
            <w:tcW w:w="794" w:type="dxa"/>
          </w:tcPr>
          <w:p w14:paraId="4FF579E3" w14:textId="77777777" w:rsidR="00725FE9" w:rsidRPr="008A4C2D" w:rsidRDefault="00725FE9" w:rsidP="00725FE9">
            <w:pPr>
              <w:spacing w:after="0"/>
              <w:jc w:val="center"/>
              <w:rPr>
                <w:lang w:val="en-GB" w:eastAsia="en-US"/>
              </w:rPr>
            </w:pPr>
            <w:r w:rsidRPr="008A4C2D">
              <w:rPr>
                <w:lang w:val="en-GB" w:eastAsia="en-US"/>
              </w:rPr>
              <w:t>8.33</w:t>
            </w:r>
          </w:p>
        </w:tc>
        <w:tc>
          <w:tcPr>
            <w:tcW w:w="794" w:type="dxa"/>
          </w:tcPr>
          <w:p w14:paraId="1751EA03" w14:textId="77777777" w:rsidR="00725FE9" w:rsidRPr="008A4C2D" w:rsidRDefault="00725FE9" w:rsidP="00725FE9">
            <w:pPr>
              <w:spacing w:after="0"/>
              <w:jc w:val="center"/>
              <w:rPr>
                <w:lang w:val="en-GB" w:eastAsia="en-US"/>
              </w:rPr>
            </w:pPr>
            <w:r w:rsidRPr="008A4C2D">
              <w:rPr>
                <w:lang w:val="en-GB" w:eastAsia="en-US"/>
              </w:rPr>
              <w:t>4.16</w:t>
            </w:r>
          </w:p>
        </w:tc>
      </w:tr>
      <w:tr w:rsidR="008A4C2D" w:rsidRPr="008A4C2D" w14:paraId="677515A0" w14:textId="77777777" w:rsidTr="008A4C2D">
        <w:trPr>
          <w:jc w:val="center"/>
        </w:trPr>
        <w:tc>
          <w:tcPr>
            <w:tcW w:w="2098" w:type="dxa"/>
          </w:tcPr>
          <w:p w14:paraId="409D5FFD" w14:textId="156F8E37" w:rsidR="00725FE9" w:rsidRPr="008A4C2D" w:rsidRDefault="00725FE9" w:rsidP="00725FE9">
            <w:pPr>
              <w:pStyle w:val="afc"/>
              <w:rPr>
                <w:rFonts w:asciiTheme="minorHAnsi" w:eastAsiaTheme="minorEastAsia" w:hAnsiTheme="minorHAnsi" w:cstheme="minorBidi"/>
                <w:spacing w:val="0"/>
                <w:kern w:val="0"/>
                <w:sz w:val="22"/>
                <w:szCs w:val="22"/>
                <w:lang w:val="en-GB" w:eastAsia="en-US"/>
              </w:rPr>
            </w:pPr>
            <w:r w:rsidRPr="008A4C2D">
              <w:rPr>
                <w:rFonts w:asciiTheme="minorHAnsi" w:eastAsiaTheme="minorEastAsia" w:hAnsiTheme="minorHAnsi" w:cstheme="minorBidi"/>
                <w:spacing w:val="0"/>
                <w:kern w:val="0"/>
                <w:sz w:val="22"/>
                <w:szCs w:val="22"/>
                <w:lang w:val="en-GB" w:eastAsia="en-US"/>
              </w:rPr>
              <w:t>CP length (us)</w:t>
            </w:r>
          </w:p>
        </w:tc>
        <w:tc>
          <w:tcPr>
            <w:tcW w:w="794" w:type="dxa"/>
          </w:tcPr>
          <w:p w14:paraId="7078398F" w14:textId="77777777" w:rsidR="00725FE9" w:rsidRPr="008A4C2D" w:rsidRDefault="00725FE9" w:rsidP="00725FE9">
            <w:pPr>
              <w:spacing w:after="0"/>
              <w:jc w:val="center"/>
              <w:rPr>
                <w:lang w:val="en-GB" w:eastAsia="en-US"/>
              </w:rPr>
            </w:pPr>
            <w:r w:rsidRPr="008A4C2D">
              <w:rPr>
                <w:lang w:val="en-GB" w:eastAsia="en-US"/>
              </w:rPr>
              <w:t>4.96</w:t>
            </w:r>
          </w:p>
        </w:tc>
        <w:tc>
          <w:tcPr>
            <w:tcW w:w="794" w:type="dxa"/>
          </w:tcPr>
          <w:p w14:paraId="4F451C2F" w14:textId="77777777" w:rsidR="00725FE9" w:rsidRPr="008A4C2D" w:rsidRDefault="00725FE9" w:rsidP="00725FE9">
            <w:pPr>
              <w:spacing w:after="0"/>
              <w:jc w:val="center"/>
              <w:rPr>
                <w:lang w:val="en-GB" w:eastAsia="en-US"/>
              </w:rPr>
            </w:pPr>
            <w:r w:rsidRPr="008A4C2D">
              <w:rPr>
                <w:lang w:val="en-GB" w:eastAsia="en-US"/>
              </w:rPr>
              <w:t>2.34</w:t>
            </w:r>
          </w:p>
        </w:tc>
        <w:tc>
          <w:tcPr>
            <w:tcW w:w="794" w:type="dxa"/>
          </w:tcPr>
          <w:p w14:paraId="29570D05" w14:textId="77777777" w:rsidR="00725FE9" w:rsidRPr="008A4C2D" w:rsidRDefault="00725FE9" w:rsidP="00725FE9">
            <w:pPr>
              <w:spacing w:after="0"/>
              <w:jc w:val="center"/>
              <w:rPr>
                <w:highlight w:val="yellow"/>
                <w:lang w:val="en-GB" w:eastAsia="en-US"/>
              </w:rPr>
            </w:pPr>
            <w:r w:rsidRPr="008A4C2D">
              <w:rPr>
                <w:highlight w:val="yellow"/>
                <w:lang w:val="en-GB" w:eastAsia="en-US"/>
              </w:rPr>
              <w:t>1.17</w:t>
            </w:r>
          </w:p>
        </w:tc>
        <w:tc>
          <w:tcPr>
            <w:tcW w:w="794" w:type="dxa"/>
          </w:tcPr>
          <w:p w14:paraId="0B9B3968" w14:textId="77777777" w:rsidR="00725FE9" w:rsidRPr="008A4C2D" w:rsidRDefault="00725FE9" w:rsidP="00725FE9">
            <w:pPr>
              <w:spacing w:after="0"/>
              <w:jc w:val="center"/>
              <w:rPr>
                <w:highlight w:val="yellow"/>
                <w:lang w:val="en-GB" w:eastAsia="en-US"/>
              </w:rPr>
            </w:pPr>
            <w:r w:rsidRPr="008A4C2D">
              <w:rPr>
                <w:highlight w:val="yellow"/>
                <w:lang w:val="en-GB" w:eastAsia="en-US"/>
              </w:rPr>
              <w:t>0.59</w:t>
            </w:r>
          </w:p>
        </w:tc>
        <w:tc>
          <w:tcPr>
            <w:tcW w:w="794" w:type="dxa"/>
          </w:tcPr>
          <w:p w14:paraId="5CF61449" w14:textId="77777777" w:rsidR="00725FE9" w:rsidRPr="008A4C2D" w:rsidRDefault="00725FE9" w:rsidP="00725FE9">
            <w:pPr>
              <w:spacing w:after="0"/>
              <w:jc w:val="center"/>
              <w:rPr>
                <w:highlight w:val="yellow"/>
                <w:lang w:val="en-GB" w:eastAsia="en-US"/>
              </w:rPr>
            </w:pPr>
            <w:r w:rsidRPr="008A4C2D">
              <w:rPr>
                <w:highlight w:val="yellow"/>
                <w:lang w:val="en-GB" w:eastAsia="en-US"/>
              </w:rPr>
              <w:t>0.295</w:t>
            </w:r>
          </w:p>
        </w:tc>
      </w:tr>
    </w:tbl>
    <w:p w14:paraId="643609E9" w14:textId="77777777" w:rsidR="00725FE9" w:rsidRDefault="00725FE9" w:rsidP="00954066">
      <w:pPr>
        <w:rPr>
          <w:lang w:val="en-GB" w:eastAsia="en-US"/>
        </w:rPr>
      </w:pPr>
    </w:p>
    <w:p w14:paraId="24608A5A" w14:textId="4E582E9D" w:rsidR="00967F64" w:rsidRDefault="00A56A50" w:rsidP="008A4C2D">
      <w:pPr>
        <w:jc w:val="both"/>
        <w:rPr>
          <w:lang w:val="en-GB" w:eastAsia="en-US"/>
        </w:rPr>
      </w:pPr>
      <w:r>
        <w:rPr>
          <w:lang w:val="en-GB" w:eastAsia="en-US"/>
        </w:rPr>
        <w:t xml:space="preserve">Assume that </w:t>
      </w:r>
      <w:r w:rsidR="008A4C2D">
        <w:rPr>
          <w:lang w:val="en-GB" w:eastAsia="en-US"/>
        </w:rPr>
        <w:t xml:space="preserve">UE is simultaneously receiving the data from 2 CCs in a FR2 band. After reception in slot n, UE </w:t>
      </w:r>
      <w:r w:rsidR="00F712E8">
        <w:rPr>
          <w:lang w:val="en-GB" w:eastAsia="en-US"/>
        </w:rPr>
        <w:t xml:space="preserve">may </w:t>
      </w:r>
      <w:r w:rsidR="008A4C2D">
        <w:rPr>
          <w:lang w:val="en-GB" w:eastAsia="en-US"/>
        </w:rPr>
        <w:t>switc</w:t>
      </w:r>
      <w:r w:rsidR="00F712E8">
        <w:rPr>
          <w:lang w:val="en-GB" w:eastAsia="en-US"/>
        </w:rPr>
        <w:t xml:space="preserve">h its Rx beam for the next slot, either because UE has to follow the changed TCI-state state or </w:t>
      </w:r>
      <w:r w:rsidR="00F72374">
        <w:rPr>
          <w:lang w:val="en-GB" w:eastAsia="en-US"/>
        </w:rPr>
        <w:t xml:space="preserve">because </w:t>
      </w:r>
      <w:r w:rsidR="00F712E8">
        <w:rPr>
          <w:lang w:val="en-GB" w:eastAsia="en-US"/>
        </w:rPr>
        <w:t>UE performs some autonomous Rx beam switch.</w:t>
      </w:r>
      <w:r w:rsidR="008A4C2D">
        <w:rPr>
          <w:lang w:val="en-GB" w:eastAsia="en-US"/>
        </w:rPr>
        <w:t xml:space="preserve"> Now, there is a 3us timing misalignment between this 2 CCs, as illustrated in </w:t>
      </w:r>
      <w:r w:rsidR="008A4C2D">
        <w:rPr>
          <w:lang w:val="en-GB" w:eastAsia="en-US"/>
        </w:rPr>
        <w:fldChar w:fldCharType="begin"/>
      </w:r>
      <w:r w:rsidR="008A4C2D">
        <w:rPr>
          <w:lang w:val="en-GB" w:eastAsia="en-US"/>
        </w:rPr>
        <w:instrText xml:space="preserve"> REF _Ref528521326 \h </w:instrText>
      </w:r>
      <w:r w:rsidR="008A4C2D">
        <w:rPr>
          <w:lang w:val="en-GB" w:eastAsia="en-US"/>
        </w:rPr>
      </w:r>
      <w:r w:rsidR="008A4C2D">
        <w:rPr>
          <w:lang w:val="en-GB" w:eastAsia="en-US"/>
        </w:rPr>
        <w:fldChar w:fldCharType="separate"/>
      </w:r>
      <w:r w:rsidR="008A4C2D">
        <w:t xml:space="preserve">Figure </w:t>
      </w:r>
      <w:r w:rsidR="008A4C2D">
        <w:rPr>
          <w:noProof/>
        </w:rPr>
        <w:t>1</w:t>
      </w:r>
      <w:r w:rsidR="008A4C2D">
        <w:rPr>
          <w:lang w:val="en-GB" w:eastAsia="en-US"/>
        </w:rPr>
        <w:fldChar w:fldCharType="end"/>
      </w:r>
      <w:r w:rsidR="009C23D7">
        <w:rPr>
          <w:lang w:val="en-GB" w:eastAsia="en-US"/>
        </w:rPr>
        <w:t>,</w:t>
      </w:r>
      <w:r w:rsidR="008A4C2D">
        <w:rPr>
          <w:lang w:val="en-GB" w:eastAsia="en-US"/>
        </w:rPr>
        <w:t xml:space="preserve"> which takes 60KHz SCS as an example. </w:t>
      </w:r>
      <w:r w:rsidR="00D67925">
        <w:rPr>
          <w:lang w:val="en-GB" w:eastAsia="en-US"/>
        </w:rPr>
        <w:t>In this case, UE finds nowhere to switch its Rx beam without impacting the data reception performance.</w:t>
      </w:r>
    </w:p>
    <w:p w14:paraId="46589AA5" w14:textId="5CCF3CBE" w:rsidR="00D67925" w:rsidRDefault="00D67925" w:rsidP="00D67925">
      <w:pPr>
        <w:pStyle w:val="af5"/>
        <w:numPr>
          <w:ilvl w:val="0"/>
          <w:numId w:val="24"/>
        </w:numPr>
        <w:jc w:val="both"/>
        <w:rPr>
          <w:lang w:val="en-GB"/>
        </w:rPr>
      </w:pPr>
      <w:r>
        <w:rPr>
          <w:lang w:val="en-GB"/>
        </w:rPr>
        <w:t>If UE switches its Rx beam at the CP duration of CC#2, then the last OFDM symbol of CC#1 will be corrupted. (</w:t>
      </w:r>
      <w:r w:rsidRPr="00D67925">
        <w:rPr>
          <w:color w:val="FF6600"/>
          <w:lang w:val="en-GB"/>
        </w:rPr>
        <w:t>orange arrow</w:t>
      </w:r>
      <w:r>
        <w:rPr>
          <w:lang w:val="en-GB"/>
        </w:rPr>
        <w:t>)</w:t>
      </w:r>
    </w:p>
    <w:p w14:paraId="2932567D" w14:textId="3CF75A9D" w:rsidR="00D67925" w:rsidRPr="00D67925" w:rsidRDefault="00D67925" w:rsidP="00D67925">
      <w:pPr>
        <w:pStyle w:val="af5"/>
        <w:numPr>
          <w:ilvl w:val="0"/>
          <w:numId w:val="24"/>
        </w:numPr>
        <w:jc w:val="both"/>
        <w:rPr>
          <w:lang w:val="en-GB"/>
        </w:rPr>
      </w:pPr>
      <w:r>
        <w:rPr>
          <w:lang w:val="en-GB"/>
        </w:rPr>
        <w:t>If UE switches its Rx beam at the CP duration of CC#1, then the first OFDM symbol of CC#2 will be corrupted. (</w:t>
      </w:r>
      <w:r w:rsidRPr="00D67925">
        <w:rPr>
          <w:color w:val="FF00FF"/>
          <w:lang w:val="en-GB"/>
        </w:rPr>
        <w:t>purple arrow</w:t>
      </w:r>
      <w:r>
        <w:rPr>
          <w:lang w:val="en-GB"/>
        </w:rPr>
        <w:t>)</w:t>
      </w:r>
    </w:p>
    <w:p w14:paraId="26A861D5" w14:textId="28ECEDAF" w:rsidR="00967F64" w:rsidRDefault="00D67925" w:rsidP="00D67925">
      <w:pPr>
        <w:jc w:val="center"/>
        <w:rPr>
          <w:lang w:val="en-GB" w:eastAsia="en-US"/>
        </w:rPr>
      </w:pPr>
      <w:r w:rsidRPr="00D67925">
        <w:rPr>
          <w:noProof/>
        </w:rPr>
        <w:lastRenderedPageBreak/>
        <w:drawing>
          <wp:inline distT="0" distB="0" distL="0" distR="0" wp14:anchorId="386FCEBA" wp14:editId="6FE30B7E">
            <wp:extent cx="5733478" cy="2795850"/>
            <wp:effectExtent l="0" t="0" r="635" b="508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8877" cy="2798483"/>
                    </a:xfrm>
                    <a:prstGeom prst="rect">
                      <a:avLst/>
                    </a:prstGeom>
                    <a:noFill/>
                    <a:ln>
                      <a:noFill/>
                    </a:ln>
                  </pic:spPr>
                </pic:pic>
              </a:graphicData>
            </a:graphic>
          </wp:inline>
        </w:drawing>
      </w:r>
    </w:p>
    <w:p w14:paraId="6B4C4B7F" w14:textId="3E1BE86E" w:rsidR="00967F64" w:rsidRDefault="008A4C2D" w:rsidP="008A4C2D">
      <w:pPr>
        <w:pStyle w:val="af1"/>
        <w:jc w:val="center"/>
        <w:rPr>
          <w:lang w:val="en-US"/>
        </w:rPr>
      </w:pPr>
      <w:bookmarkStart w:id="2" w:name="_Ref528521326"/>
      <w:r>
        <w:t xml:space="preserve">Figure </w:t>
      </w:r>
      <w:r w:rsidR="002F6ABF">
        <w:fldChar w:fldCharType="begin"/>
      </w:r>
      <w:r w:rsidR="002F6ABF">
        <w:instrText xml:space="preserve"> SEQ Figure \* ARABIC </w:instrText>
      </w:r>
      <w:r w:rsidR="002F6ABF">
        <w:fldChar w:fldCharType="separate"/>
      </w:r>
      <w:r w:rsidR="00A56A50">
        <w:rPr>
          <w:noProof/>
        </w:rPr>
        <w:t>1</w:t>
      </w:r>
      <w:r w:rsidR="002F6ABF">
        <w:rPr>
          <w:noProof/>
        </w:rPr>
        <w:fldChar w:fldCharType="end"/>
      </w:r>
      <w:bookmarkEnd w:id="2"/>
      <w:r>
        <w:rPr>
          <w:lang w:val="en-US"/>
        </w:rPr>
        <w:t xml:space="preserve">. Impact of 3us MRTD on UE Rx beam sweeping </w:t>
      </w:r>
    </w:p>
    <w:p w14:paraId="70A78CFA" w14:textId="77777777" w:rsidR="00FB24ED" w:rsidRDefault="00FB24ED" w:rsidP="00D67925">
      <w:pPr>
        <w:rPr>
          <w:lang w:eastAsia="x-none"/>
        </w:rPr>
      </w:pPr>
    </w:p>
    <w:p w14:paraId="1F7A5EA2" w14:textId="0274F951" w:rsidR="000123A7" w:rsidRPr="000123A7" w:rsidRDefault="00A56A50" w:rsidP="004A1E2A">
      <w:pPr>
        <w:jc w:val="both"/>
        <w:rPr>
          <w:b/>
        </w:rPr>
      </w:pPr>
      <w:r>
        <w:rPr>
          <w:lang w:eastAsia="x-none"/>
        </w:rPr>
        <w:t xml:space="preserve">Actually, this unaligned CP for FR2 intra-band CA </w:t>
      </w:r>
      <w:r w:rsidR="00F72374">
        <w:rPr>
          <w:lang w:eastAsia="x-none"/>
        </w:rPr>
        <w:t xml:space="preserve">also </w:t>
      </w:r>
      <w:r>
        <w:rPr>
          <w:lang w:eastAsia="x-none"/>
        </w:rPr>
        <w:t>has i</w:t>
      </w:r>
      <w:r w:rsidRPr="00F72374">
        <w:rPr>
          <w:lang w:eastAsia="x-none"/>
        </w:rPr>
        <w:t xml:space="preserve">mpact </w:t>
      </w:r>
      <w:bookmarkStart w:id="3" w:name="_Ref528522338"/>
      <w:r w:rsidR="004D0D2E" w:rsidRPr="00F72374">
        <w:t>LNA</w:t>
      </w:r>
      <w:r w:rsidR="00F72374">
        <w:t>/PGA</w:t>
      </w:r>
      <w:r w:rsidR="000123A7" w:rsidRPr="00F72374">
        <w:rPr>
          <w:rFonts w:hint="eastAsia"/>
        </w:rPr>
        <w:t xml:space="preserve"> gain tuning. </w:t>
      </w:r>
      <w:r w:rsidR="000123A7" w:rsidRPr="00F72374">
        <w:t>U</w:t>
      </w:r>
      <w:r w:rsidR="000123A7" w:rsidRPr="000123A7">
        <w:t xml:space="preserve">sually, UE has to utilize CP for </w:t>
      </w:r>
      <w:r w:rsidR="00671E28">
        <w:t>LNA</w:t>
      </w:r>
      <w:r w:rsidR="00F72374">
        <w:t>/PGA</w:t>
      </w:r>
      <w:r w:rsidR="000123A7" w:rsidRPr="000123A7">
        <w:t xml:space="preserve"> gain </w:t>
      </w:r>
      <w:r w:rsidR="00671E28">
        <w:t>re-adjustment</w:t>
      </w:r>
      <w:r w:rsidR="000123A7" w:rsidRPr="000123A7">
        <w:t xml:space="preserve"> in order to </w:t>
      </w:r>
      <w:r w:rsidR="00DF5D9C">
        <w:t xml:space="preserve">minimize the </w:t>
      </w:r>
      <w:r w:rsidR="000123A7" w:rsidRPr="000123A7">
        <w:t xml:space="preserve">impact </w:t>
      </w:r>
      <w:r w:rsidR="00DF5D9C">
        <w:t>to</w:t>
      </w:r>
      <w:r w:rsidR="000123A7" w:rsidRPr="000123A7">
        <w:t xml:space="preserve"> data reception performance. If CP is not aligned for intra-band CCs, UE </w:t>
      </w:r>
      <w:r w:rsidR="000123A7">
        <w:t xml:space="preserve">again can find nowhere to adjust its AGC gain without impact data reception, similar to the issue we face in </w:t>
      </w:r>
      <w:r w:rsidR="000123A7">
        <w:rPr>
          <w:b/>
        </w:rPr>
        <w:fldChar w:fldCharType="begin"/>
      </w:r>
      <w:r w:rsidR="000123A7">
        <w:instrText xml:space="preserve"> REF _Ref528521326 \h  \* MERGEFORMAT </w:instrText>
      </w:r>
      <w:r w:rsidR="000123A7">
        <w:rPr>
          <w:b/>
        </w:rPr>
      </w:r>
      <w:r w:rsidR="000123A7">
        <w:rPr>
          <w:b/>
        </w:rPr>
        <w:fldChar w:fldCharType="separate"/>
      </w:r>
      <w:r w:rsidR="000123A7" w:rsidRPr="000123A7">
        <w:t>Figure 1</w:t>
      </w:r>
      <w:r w:rsidR="000123A7">
        <w:rPr>
          <w:b/>
        </w:rPr>
        <w:fldChar w:fldCharType="end"/>
      </w:r>
      <w:r w:rsidR="000123A7">
        <w:t>.</w:t>
      </w:r>
    </w:p>
    <w:p w14:paraId="66D845C2" w14:textId="4D104600" w:rsidR="00FB24ED" w:rsidRPr="00FB24ED" w:rsidRDefault="00FB24ED" w:rsidP="00FB24ED">
      <w:pPr>
        <w:pStyle w:val="af1"/>
        <w:jc w:val="both"/>
        <w:rPr>
          <w:lang w:val="en-US"/>
        </w:rPr>
      </w:pPr>
      <w:bookmarkStart w:id="4" w:name="_Ref536093667"/>
      <w:r>
        <w:t xml:space="preserve">Observation </w:t>
      </w:r>
      <w:r w:rsidR="002F6ABF">
        <w:fldChar w:fldCharType="begin"/>
      </w:r>
      <w:r w:rsidR="002F6ABF">
        <w:instrText xml:space="preserve"> SEQ Observation \* ARABIC </w:instrText>
      </w:r>
      <w:r w:rsidR="002F6ABF">
        <w:fldChar w:fldCharType="separate"/>
      </w:r>
      <w:r>
        <w:rPr>
          <w:noProof/>
        </w:rPr>
        <w:t>1</w:t>
      </w:r>
      <w:r w:rsidR="002F6ABF">
        <w:rPr>
          <w:noProof/>
        </w:rPr>
        <w:fldChar w:fldCharType="end"/>
      </w:r>
      <w:r>
        <w:rPr>
          <w:lang w:val="en-US"/>
        </w:rPr>
        <w:t xml:space="preserve">: </w:t>
      </w:r>
      <w:r w:rsidR="00E22CE8">
        <w:rPr>
          <w:lang w:val="en-US"/>
        </w:rPr>
        <w:t xml:space="preserve">If the </w:t>
      </w:r>
      <w:r w:rsidR="000D72E7">
        <w:rPr>
          <w:lang w:val="en-US"/>
        </w:rPr>
        <w:t xml:space="preserve">DL </w:t>
      </w:r>
      <w:r w:rsidR="00E22CE8">
        <w:rPr>
          <w:lang w:val="en-US"/>
        </w:rPr>
        <w:t xml:space="preserve">CP of </w:t>
      </w:r>
      <w:r>
        <w:rPr>
          <w:lang w:val="en-US"/>
        </w:rPr>
        <w:t xml:space="preserve">intra-band NCCA </w:t>
      </w:r>
      <w:r w:rsidR="00E22CE8">
        <w:rPr>
          <w:lang w:val="en-US"/>
        </w:rPr>
        <w:t>in FR2 are not aligned</w:t>
      </w:r>
      <w:r>
        <w:rPr>
          <w:lang w:val="en-US"/>
        </w:rPr>
        <w:t xml:space="preserve">, UE </w:t>
      </w:r>
      <w:r>
        <w:rPr>
          <w:lang w:val="en-GB" w:eastAsia="en-US"/>
        </w:rPr>
        <w:t xml:space="preserve">finds nowhere to switch its Rx beam </w:t>
      </w:r>
      <w:r w:rsidR="000123A7">
        <w:rPr>
          <w:lang w:val="en-GB" w:eastAsia="en-US"/>
        </w:rPr>
        <w:t xml:space="preserve">and adjust </w:t>
      </w:r>
      <w:r w:rsidR="00CC06A3">
        <w:rPr>
          <w:lang w:val="en-GB" w:eastAsia="en-US"/>
        </w:rPr>
        <w:t>LNA</w:t>
      </w:r>
      <w:r w:rsidR="000D72E7">
        <w:rPr>
          <w:lang w:val="en-GB" w:eastAsia="en-US"/>
        </w:rPr>
        <w:t>/PGA</w:t>
      </w:r>
      <w:r w:rsidR="000123A7">
        <w:rPr>
          <w:lang w:val="en-GB" w:eastAsia="en-US"/>
        </w:rPr>
        <w:t xml:space="preserve"> gain </w:t>
      </w:r>
      <w:r>
        <w:rPr>
          <w:lang w:val="en-GB" w:eastAsia="en-US"/>
        </w:rPr>
        <w:t>without impacting the data reception performance.</w:t>
      </w:r>
      <w:bookmarkEnd w:id="3"/>
      <w:bookmarkEnd w:id="4"/>
    </w:p>
    <w:p w14:paraId="11F915E5" w14:textId="77777777" w:rsidR="00FB24ED" w:rsidRDefault="00FB24ED" w:rsidP="00D67925">
      <w:pPr>
        <w:rPr>
          <w:lang w:eastAsia="x-none"/>
        </w:rPr>
      </w:pPr>
    </w:p>
    <w:p w14:paraId="18B22903" w14:textId="7C0934D3" w:rsidR="00DA352F" w:rsidRDefault="00025AD5" w:rsidP="00B703AE">
      <w:pPr>
        <w:jc w:val="both"/>
        <w:rPr>
          <w:lang w:eastAsia="x-none"/>
        </w:rPr>
      </w:pPr>
      <w:r>
        <w:rPr>
          <w:lang w:eastAsia="x-none"/>
        </w:rPr>
        <w:t>Furthermore</w:t>
      </w:r>
      <w:r w:rsidR="00DA352F">
        <w:rPr>
          <w:lang w:eastAsia="x-none"/>
        </w:rPr>
        <w:t xml:space="preserve">, this issue is not limited to DL. </w:t>
      </w:r>
      <w:r>
        <w:rPr>
          <w:lang w:eastAsia="x-none"/>
        </w:rPr>
        <w:t xml:space="preserve">UE may also be requested to switch to its Tx beam between 2 consecutive slots.  </w:t>
      </w:r>
    </w:p>
    <w:p w14:paraId="3BE3E789" w14:textId="632C6CB7" w:rsidR="00025AD5" w:rsidRPr="00FB24ED" w:rsidRDefault="00025AD5" w:rsidP="00025AD5">
      <w:pPr>
        <w:pStyle w:val="af1"/>
        <w:jc w:val="both"/>
        <w:rPr>
          <w:lang w:val="en-US"/>
        </w:rPr>
      </w:pPr>
      <w:r>
        <w:t xml:space="preserve">Observation </w:t>
      </w:r>
      <w:r>
        <w:fldChar w:fldCharType="begin"/>
      </w:r>
      <w:r>
        <w:instrText xml:space="preserve"> SEQ Observation \* ARABIC </w:instrText>
      </w:r>
      <w:r>
        <w:fldChar w:fldCharType="separate"/>
      </w:r>
      <w:r>
        <w:rPr>
          <w:noProof/>
        </w:rPr>
        <w:t>2</w:t>
      </w:r>
      <w:r>
        <w:rPr>
          <w:noProof/>
        </w:rPr>
        <w:fldChar w:fldCharType="end"/>
      </w:r>
      <w:r>
        <w:rPr>
          <w:lang w:val="en-US"/>
        </w:rPr>
        <w:t xml:space="preserve">: If the UL CP of intra-band NCCA in FR2 are not aligned, UE </w:t>
      </w:r>
      <w:r>
        <w:rPr>
          <w:lang w:val="en-GB" w:eastAsia="en-US"/>
        </w:rPr>
        <w:t xml:space="preserve">finds nowhere to switch its Tx beam without impacting the data </w:t>
      </w:r>
      <w:r w:rsidR="00DF5D9C">
        <w:rPr>
          <w:lang w:val="en-GB" w:eastAsia="en-US"/>
        </w:rPr>
        <w:t>transmission</w:t>
      </w:r>
      <w:r>
        <w:rPr>
          <w:lang w:val="en-GB" w:eastAsia="en-US"/>
        </w:rPr>
        <w:t>.</w:t>
      </w:r>
    </w:p>
    <w:p w14:paraId="05DC14B6" w14:textId="77777777" w:rsidR="00DA352F" w:rsidRPr="00025AD5" w:rsidRDefault="00DA352F" w:rsidP="00D67925">
      <w:pPr>
        <w:rPr>
          <w:lang w:eastAsia="x-none"/>
        </w:rPr>
      </w:pPr>
    </w:p>
    <w:p w14:paraId="4E38D36F" w14:textId="4BACF6C2" w:rsidR="00E22CE8" w:rsidRDefault="00E22CE8" w:rsidP="00D67925">
      <w:pPr>
        <w:rPr>
          <w:lang w:eastAsia="x-none"/>
        </w:rPr>
      </w:pPr>
      <w:r>
        <w:rPr>
          <w:rFonts w:hint="eastAsia"/>
          <w:lang w:eastAsia="x-none"/>
        </w:rPr>
        <w:t xml:space="preserve">In </w:t>
      </w:r>
      <w:r w:rsidR="00B703AE">
        <w:rPr>
          <w:lang w:eastAsia="x-none"/>
        </w:rPr>
        <w:t>the chairman’s note of R4#90 meeting, options were listed for further discussion.</w:t>
      </w:r>
    </w:p>
    <w:tbl>
      <w:tblPr>
        <w:tblStyle w:val="af7"/>
        <w:tblW w:w="0" w:type="auto"/>
        <w:tblInd w:w="440" w:type="dxa"/>
        <w:tblLook w:val="04A0" w:firstRow="1" w:lastRow="0" w:firstColumn="1" w:lastColumn="0" w:noHBand="0" w:noVBand="1"/>
      </w:tblPr>
      <w:tblGrid>
        <w:gridCol w:w="9189"/>
      </w:tblGrid>
      <w:tr w:rsidR="00E22CE8" w14:paraId="148981F2" w14:textId="77777777" w:rsidTr="00E22CE8">
        <w:tc>
          <w:tcPr>
            <w:tcW w:w="9629" w:type="dxa"/>
          </w:tcPr>
          <w:p w14:paraId="16BAD797" w14:textId="77777777" w:rsidR="00B703AE" w:rsidRPr="004A1E2A" w:rsidRDefault="00B703AE" w:rsidP="00B703AE">
            <w:pPr>
              <w:spacing w:after="0"/>
              <w:rPr>
                <w:sz w:val="20"/>
                <w:highlight w:val="green"/>
                <w:lang w:eastAsia="zh-CN"/>
              </w:rPr>
            </w:pPr>
            <w:r w:rsidRPr="004A1E2A">
              <w:rPr>
                <w:rFonts w:hint="eastAsia"/>
                <w:sz w:val="20"/>
                <w:highlight w:val="green"/>
                <w:lang w:eastAsia="zh-CN"/>
              </w:rPr>
              <w:t>Agreement:</w:t>
            </w:r>
          </w:p>
          <w:p w14:paraId="18ED8690" w14:textId="77777777" w:rsidR="00B703AE" w:rsidRPr="004A1E2A" w:rsidRDefault="00B703AE" w:rsidP="00B703AE">
            <w:pPr>
              <w:pStyle w:val="af5"/>
              <w:numPr>
                <w:ilvl w:val="0"/>
                <w:numId w:val="28"/>
              </w:numPr>
              <w:overflowPunct w:val="0"/>
              <w:autoSpaceDE w:val="0"/>
              <w:autoSpaceDN w:val="0"/>
              <w:adjustRightInd w:val="0"/>
              <w:spacing w:after="0" w:line="240" w:lineRule="auto"/>
              <w:contextualSpacing w:val="0"/>
              <w:rPr>
                <w:rFonts w:ascii="Times New Roman" w:hAnsi="Times New Roman"/>
                <w:sz w:val="20"/>
                <w:highlight w:val="green"/>
              </w:rPr>
            </w:pPr>
            <w:r w:rsidRPr="004A1E2A">
              <w:rPr>
                <w:rFonts w:ascii="Times New Roman" w:hAnsi="Times New Roman"/>
                <w:sz w:val="20"/>
                <w:highlight w:val="green"/>
              </w:rPr>
              <w:t>MRTD requirement for non-contiguous CA</w:t>
            </w:r>
            <w:r w:rsidRPr="004A1E2A">
              <w:rPr>
                <w:rFonts w:ascii="Times New Roman" w:hAnsi="Times New Roman" w:hint="eastAsia"/>
                <w:sz w:val="20"/>
                <w:highlight w:val="green"/>
                <w:lang w:eastAsia="zh-CN"/>
              </w:rPr>
              <w:t>, the following three options will be discussed in the next meeting</w:t>
            </w:r>
          </w:p>
          <w:p w14:paraId="6B4FF975" w14:textId="77777777" w:rsidR="00B703AE" w:rsidRPr="004A1E2A" w:rsidRDefault="00B703AE" w:rsidP="00B703AE">
            <w:pPr>
              <w:pStyle w:val="af5"/>
              <w:numPr>
                <w:ilvl w:val="1"/>
                <w:numId w:val="28"/>
              </w:numPr>
              <w:overflowPunct w:val="0"/>
              <w:autoSpaceDE w:val="0"/>
              <w:autoSpaceDN w:val="0"/>
              <w:adjustRightInd w:val="0"/>
              <w:spacing w:after="0" w:line="240" w:lineRule="auto"/>
              <w:contextualSpacing w:val="0"/>
              <w:rPr>
                <w:rFonts w:ascii="Times New Roman" w:hAnsi="Times New Roman"/>
                <w:sz w:val="20"/>
                <w:highlight w:val="green"/>
              </w:rPr>
            </w:pPr>
            <w:r w:rsidRPr="004A1E2A">
              <w:rPr>
                <w:rFonts w:ascii="Times New Roman" w:hAnsi="Times New Roman" w:hint="eastAsia"/>
                <w:sz w:val="20"/>
                <w:highlight w:val="green"/>
                <w:lang w:eastAsia="zh-CN"/>
              </w:rPr>
              <w:t>Option 1: half CP of the larger SCS among the CC-es for FR1 and for FR2 (Intel, Q</w:t>
            </w:r>
            <w:r w:rsidRPr="004A1E2A">
              <w:rPr>
                <w:rFonts w:ascii="Times New Roman" w:hAnsi="Times New Roman"/>
                <w:sz w:val="20"/>
                <w:highlight w:val="green"/>
                <w:lang w:eastAsia="zh-CN"/>
              </w:rPr>
              <w:t>u</w:t>
            </w:r>
            <w:r w:rsidRPr="004A1E2A">
              <w:rPr>
                <w:rFonts w:ascii="Times New Roman" w:hAnsi="Times New Roman" w:hint="eastAsia"/>
                <w:sz w:val="20"/>
                <w:highlight w:val="green"/>
                <w:lang w:eastAsia="zh-CN"/>
              </w:rPr>
              <w:t>alcomm, NTT DOCOMO, Mediatek)</w:t>
            </w:r>
          </w:p>
          <w:p w14:paraId="7621F1B7" w14:textId="77777777" w:rsidR="00B703AE" w:rsidRPr="004A1E2A" w:rsidRDefault="00B703AE" w:rsidP="00B703AE">
            <w:pPr>
              <w:pStyle w:val="af5"/>
              <w:numPr>
                <w:ilvl w:val="1"/>
                <w:numId w:val="28"/>
              </w:numPr>
              <w:overflowPunct w:val="0"/>
              <w:autoSpaceDE w:val="0"/>
              <w:autoSpaceDN w:val="0"/>
              <w:adjustRightInd w:val="0"/>
              <w:spacing w:after="0" w:line="240" w:lineRule="auto"/>
              <w:contextualSpacing w:val="0"/>
              <w:rPr>
                <w:rFonts w:ascii="Times New Roman" w:hAnsi="Times New Roman"/>
                <w:sz w:val="20"/>
                <w:highlight w:val="green"/>
              </w:rPr>
            </w:pPr>
            <w:r w:rsidRPr="004A1E2A">
              <w:rPr>
                <w:rFonts w:ascii="Times New Roman" w:hAnsi="Times New Roman" w:hint="eastAsia"/>
                <w:sz w:val="20"/>
                <w:highlight w:val="green"/>
                <w:lang w:eastAsia="zh-CN"/>
              </w:rPr>
              <w:t>Option 2: keep the existing requirements, i.e., 3us (Huawei, ZTE, CATT)</w:t>
            </w:r>
          </w:p>
          <w:p w14:paraId="406F9A91" w14:textId="15DF126E" w:rsidR="00E22CE8" w:rsidRPr="00E22CE8" w:rsidRDefault="00B703AE" w:rsidP="00B703AE">
            <w:pPr>
              <w:pStyle w:val="af5"/>
              <w:numPr>
                <w:ilvl w:val="1"/>
                <w:numId w:val="28"/>
              </w:numPr>
              <w:overflowPunct w:val="0"/>
              <w:autoSpaceDE w:val="0"/>
              <w:autoSpaceDN w:val="0"/>
              <w:adjustRightInd w:val="0"/>
              <w:spacing w:after="0" w:line="240" w:lineRule="auto"/>
              <w:contextualSpacing w:val="0"/>
            </w:pPr>
            <w:r w:rsidRPr="004A1E2A">
              <w:rPr>
                <w:rFonts w:ascii="Times New Roman" w:hAnsi="Times New Roman" w:hint="eastAsia"/>
                <w:sz w:val="20"/>
                <w:highlight w:val="green"/>
                <w:lang w:eastAsia="zh-CN"/>
              </w:rPr>
              <w:t xml:space="preserve">Option 3: 260ns for both FR1 </w:t>
            </w:r>
            <w:r w:rsidRPr="004A1E2A">
              <w:rPr>
                <w:rFonts w:ascii="Times New Roman" w:hAnsi="Times New Roman"/>
                <w:sz w:val="20"/>
                <w:highlight w:val="green"/>
                <w:lang w:eastAsia="zh-CN"/>
              </w:rPr>
              <w:t>and</w:t>
            </w:r>
            <w:r w:rsidRPr="004A1E2A">
              <w:rPr>
                <w:rFonts w:ascii="Times New Roman" w:hAnsi="Times New Roman" w:hint="eastAsia"/>
                <w:sz w:val="20"/>
                <w:highlight w:val="green"/>
                <w:lang w:eastAsia="zh-CN"/>
              </w:rPr>
              <w:t xml:space="preserve"> FR2 (Nokia)</w:t>
            </w:r>
          </w:p>
        </w:tc>
      </w:tr>
    </w:tbl>
    <w:p w14:paraId="0E6C3B29" w14:textId="77777777" w:rsidR="00E22CE8" w:rsidRDefault="00E22CE8" w:rsidP="00E22CE8">
      <w:pPr>
        <w:rPr>
          <w:lang w:eastAsia="x-none"/>
        </w:rPr>
      </w:pPr>
    </w:p>
    <w:p w14:paraId="22F73884" w14:textId="6187E862" w:rsidR="00E22CE8" w:rsidRPr="00E22CE8" w:rsidRDefault="00E22CE8" w:rsidP="00474107">
      <w:pPr>
        <w:jc w:val="both"/>
        <w:rPr>
          <w:lang w:eastAsia="x-none"/>
        </w:rPr>
      </w:pPr>
      <w:r>
        <w:rPr>
          <w:rFonts w:hint="eastAsia"/>
          <w:lang w:eastAsia="x-none"/>
        </w:rPr>
        <w:t xml:space="preserve">From </w:t>
      </w:r>
      <w:r>
        <w:rPr>
          <w:lang w:eastAsia="x-none"/>
        </w:rPr>
        <w:t xml:space="preserve">a </w:t>
      </w:r>
      <w:r>
        <w:rPr>
          <w:rFonts w:hint="eastAsia"/>
          <w:lang w:eastAsia="x-none"/>
        </w:rPr>
        <w:t>UE</w:t>
      </w:r>
      <w:r>
        <w:rPr>
          <w:lang w:eastAsia="x-none"/>
        </w:rPr>
        <w:t xml:space="preserve"> vendor’s point of view, Option 2 is less preferred</w:t>
      </w:r>
      <w:r w:rsidR="00B703AE">
        <w:rPr>
          <w:lang w:eastAsia="x-none"/>
        </w:rPr>
        <w:t xml:space="preserve">. Keeping the current MRTD/MTTD requirements means that we have to introduce interruption of 1 OFDM symbol. However, </w:t>
      </w:r>
      <w:r w:rsidR="00A217F4">
        <w:rPr>
          <w:lang w:eastAsia="x-none"/>
        </w:rPr>
        <w:t>the</w:t>
      </w:r>
      <w:r>
        <w:rPr>
          <w:lang w:eastAsia="x-none"/>
        </w:rPr>
        <w:t xml:space="preserve"> time when UE needs to autonomously switch its Rx</w:t>
      </w:r>
      <w:r w:rsidR="0006400C">
        <w:rPr>
          <w:lang w:eastAsia="x-none"/>
        </w:rPr>
        <w:t>/Tx</w:t>
      </w:r>
      <w:r>
        <w:rPr>
          <w:lang w:eastAsia="x-none"/>
        </w:rPr>
        <w:t xml:space="preserve"> beam or adjust </w:t>
      </w:r>
      <w:r w:rsidR="00CC06A3">
        <w:rPr>
          <w:lang w:eastAsia="x-none"/>
        </w:rPr>
        <w:t>LNA</w:t>
      </w:r>
      <w:r w:rsidR="00B703AE">
        <w:rPr>
          <w:lang w:eastAsia="x-none"/>
        </w:rPr>
        <w:t>/PGA</w:t>
      </w:r>
      <w:r>
        <w:rPr>
          <w:lang w:eastAsia="x-none"/>
        </w:rPr>
        <w:t xml:space="preserve"> is completely </w:t>
      </w:r>
      <w:r w:rsidR="00474107">
        <w:rPr>
          <w:lang w:eastAsia="x-none"/>
        </w:rPr>
        <w:t xml:space="preserve">up to UE implementation. </w:t>
      </w:r>
      <w:r w:rsidR="00CC06A3">
        <w:rPr>
          <w:lang w:eastAsia="x-none"/>
        </w:rPr>
        <w:t>T</w:t>
      </w:r>
      <w:r w:rsidR="00474107">
        <w:rPr>
          <w:lang w:eastAsia="x-none"/>
        </w:rPr>
        <w:t xml:space="preserve">he worst case </w:t>
      </w:r>
      <w:r w:rsidR="00CC06A3">
        <w:rPr>
          <w:lang w:eastAsia="x-none"/>
        </w:rPr>
        <w:t>could be that UE needs to utilize the CP</w:t>
      </w:r>
      <w:r w:rsidR="00474107">
        <w:rPr>
          <w:lang w:eastAsia="x-none"/>
        </w:rPr>
        <w:t xml:space="preserve"> at the beginning of every slot</w:t>
      </w:r>
      <w:r w:rsidR="00A217F4">
        <w:rPr>
          <w:lang w:eastAsia="x-none"/>
        </w:rPr>
        <w:t xml:space="preserve">. The impact to the whole system performance </w:t>
      </w:r>
      <w:r w:rsidR="00B703AE">
        <w:rPr>
          <w:lang w:eastAsia="x-none"/>
        </w:rPr>
        <w:t>is not only to lose one OFDM symbol in every slot (1/14 = 7%)</w:t>
      </w:r>
      <w:r w:rsidR="00A217F4">
        <w:rPr>
          <w:lang w:eastAsia="x-none"/>
        </w:rPr>
        <w:t xml:space="preserve"> because it is usually PDDCH which occupies the first OFDM symbols in a slot. If UE has problem in decoding PDCCH, both DL and UL grant could be missed.</w:t>
      </w:r>
      <w:r w:rsidR="00F211C8">
        <w:rPr>
          <w:lang w:eastAsia="x-none"/>
        </w:rPr>
        <w:t xml:space="preserve"> </w:t>
      </w:r>
    </w:p>
    <w:p w14:paraId="05780EB9" w14:textId="2D8B580D" w:rsidR="00474107" w:rsidRDefault="00474107" w:rsidP="00474107">
      <w:pPr>
        <w:pStyle w:val="af1"/>
        <w:jc w:val="both"/>
        <w:rPr>
          <w:lang w:val="en-US"/>
        </w:rPr>
      </w:pPr>
      <w:bookmarkStart w:id="5" w:name="_Ref536093669"/>
      <w:bookmarkStart w:id="6" w:name="_Ref528522341"/>
      <w:r>
        <w:lastRenderedPageBreak/>
        <w:t xml:space="preserve">Observation </w:t>
      </w:r>
      <w:r>
        <w:fldChar w:fldCharType="begin"/>
      </w:r>
      <w:r>
        <w:instrText xml:space="preserve"> SEQ Observation \* ARABIC </w:instrText>
      </w:r>
      <w:r>
        <w:fldChar w:fldCharType="separate"/>
      </w:r>
      <w:r>
        <w:rPr>
          <w:noProof/>
        </w:rPr>
        <w:t>2</w:t>
      </w:r>
      <w:r>
        <w:fldChar w:fldCharType="end"/>
      </w:r>
      <w:r>
        <w:rPr>
          <w:lang w:val="en-US"/>
        </w:rPr>
        <w:t xml:space="preserve">: </w:t>
      </w:r>
      <w:r w:rsidR="00517B6B">
        <w:rPr>
          <w:lang w:val="en-US"/>
        </w:rPr>
        <w:t xml:space="preserve">Keeping the existing requirements with allowing </w:t>
      </w:r>
      <w:r>
        <w:rPr>
          <w:lang w:val="en-US"/>
        </w:rPr>
        <w:t>additional schedulin</w:t>
      </w:r>
      <w:r w:rsidR="00291505">
        <w:rPr>
          <w:lang w:val="en-US"/>
        </w:rPr>
        <w:t xml:space="preserve">g restriction </w:t>
      </w:r>
      <w:r w:rsidR="00F211C8">
        <w:rPr>
          <w:lang w:val="en-US"/>
        </w:rPr>
        <w:t>in the 1</w:t>
      </w:r>
      <w:r w:rsidR="00F211C8" w:rsidRPr="00F211C8">
        <w:rPr>
          <w:vertAlign w:val="superscript"/>
          <w:lang w:val="en-US"/>
        </w:rPr>
        <w:t>st</w:t>
      </w:r>
      <w:r w:rsidR="00F211C8">
        <w:rPr>
          <w:lang w:val="en-US"/>
        </w:rPr>
        <w:t xml:space="preserve"> OFDM symbol of the next slot </w:t>
      </w:r>
      <w:r w:rsidR="00291505">
        <w:rPr>
          <w:lang w:val="en-US"/>
        </w:rPr>
        <w:t xml:space="preserve">is not preferred. </w:t>
      </w:r>
      <w:r>
        <w:rPr>
          <w:lang w:val="en-US"/>
        </w:rPr>
        <w:t xml:space="preserve">It </w:t>
      </w:r>
      <w:r w:rsidR="00F211C8">
        <w:rPr>
          <w:lang w:val="en-US"/>
        </w:rPr>
        <w:t>may cause problem in decoding PDCCH, leading to missed DL and UL grants</w:t>
      </w:r>
      <w:r>
        <w:rPr>
          <w:lang w:val="en-US"/>
        </w:rPr>
        <w:t>.</w:t>
      </w:r>
      <w:bookmarkEnd w:id="5"/>
      <w:r>
        <w:rPr>
          <w:lang w:val="en-US"/>
        </w:rPr>
        <w:t xml:space="preserve"> </w:t>
      </w:r>
    </w:p>
    <w:p w14:paraId="1EDEE82E" w14:textId="77777777" w:rsidR="005E4A4F" w:rsidRPr="005E4A4F" w:rsidRDefault="005E4A4F" w:rsidP="005E4A4F">
      <w:pPr>
        <w:rPr>
          <w:lang w:eastAsia="x-none"/>
        </w:rPr>
      </w:pPr>
    </w:p>
    <w:p w14:paraId="3CF7262D" w14:textId="35EAE885" w:rsidR="00474107" w:rsidRDefault="00474107" w:rsidP="00291505">
      <w:pPr>
        <w:pStyle w:val="af1"/>
        <w:jc w:val="both"/>
        <w:rPr>
          <w:b w:val="0"/>
          <w:sz w:val="22"/>
          <w:szCs w:val="22"/>
          <w:lang w:val="en-US"/>
        </w:rPr>
      </w:pPr>
      <w:r>
        <w:rPr>
          <w:b w:val="0"/>
          <w:sz w:val="22"/>
          <w:szCs w:val="22"/>
          <w:lang w:val="en-US"/>
        </w:rPr>
        <w:t xml:space="preserve">As a results, Option 1 </w:t>
      </w:r>
      <w:r w:rsidR="00B703AE">
        <w:rPr>
          <w:b w:val="0"/>
          <w:sz w:val="22"/>
          <w:szCs w:val="22"/>
          <w:lang w:val="en-US"/>
        </w:rPr>
        <w:t xml:space="preserve">or 3 </w:t>
      </w:r>
      <w:r>
        <w:rPr>
          <w:b w:val="0"/>
          <w:sz w:val="22"/>
          <w:szCs w:val="22"/>
          <w:lang w:val="en-US"/>
        </w:rPr>
        <w:t xml:space="preserve">is preferred. </w:t>
      </w:r>
      <w:r w:rsidR="00B703AE">
        <w:rPr>
          <w:b w:val="0"/>
          <w:sz w:val="22"/>
          <w:szCs w:val="22"/>
          <w:lang w:val="en-US"/>
        </w:rPr>
        <w:t xml:space="preserve">In our opinion, Option 1 should be sufficient. Therefore, we suggest that MRTD </w:t>
      </w:r>
      <w:r w:rsidR="003821D5">
        <w:rPr>
          <w:b w:val="0"/>
          <w:sz w:val="22"/>
          <w:szCs w:val="22"/>
          <w:lang w:val="en-US"/>
        </w:rPr>
        <w:t xml:space="preserve">requirements </w:t>
      </w:r>
      <w:r w:rsidR="00C4587F">
        <w:rPr>
          <w:b w:val="0"/>
          <w:sz w:val="22"/>
          <w:szCs w:val="22"/>
          <w:lang w:val="en-US"/>
        </w:rPr>
        <w:t>is</w:t>
      </w:r>
      <w:r w:rsidR="003821D5">
        <w:rPr>
          <w:b w:val="0"/>
          <w:sz w:val="22"/>
          <w:szCs w:val="22"/>
          <w:lang w:val="en-US"/>
        </w:rPr>
        <w:t xml:space="preserve"> no longer than </w:t>
      </w:r>
      <w:r w:rsidR="00B703AE" w:rsidRPr="00B703AE">
        <w:rPr>
          <w:b w:val="0"/>
          <w:sz w:val="22"/>
          <w:szCs w:val="22"/>
          <w:lang w:val="en-US"/>
        </w:rPr>
        <w:t>half CP of the larger SCS among the CC-es for FR2</w:t>
      </w:r>
      <w:r w:rsidR="00C4587F">
        <w:rPr>
          <w:b w:val="0"/>
          <w:sz w:val="22"/>
          <w:szCs w:val="22"/>
          <w:lang w:val="en-US"/>
        </w:rPr>
        <w:t xml:space="preserve"> and MTTD should be kept 0</w:t>
      </w:r>
      <w:r w:rsidR="003821D5">
        <w:rPr>
          <w:b w:val="0"/>
          <w:sz w:val="22"/>
          <w:szCs w:val="22"/>
          <w:lang w:val="en-US"/>
        </w:rPr>
        <w:t xml:space="preserve">. </w:t>
      </w:r>
    </w:p>
    <w:p w14:paraId="1C5F6240" w14:textId="34F4E8C5" w:rsidR="00D67925" w:rsidRPr="00FB24ED" w:rsidRDefault="00FB24ED" w:rsidP="00291505">
      <w:pPr>
        <w:pStyle w:val="af1"/>
        <w:jc w:val="both"/>
        <w:rPr>
          <w:lang w:val="en-US"/>
        </w:rPr>
      </w:pPr>
      <w:bookmarkStart w:id="7" w:name="_Ref536093672"/>
      <w:r>
        <w:t xml:space="preserve">Proposal </w:t>
      </w:r>
      <w:r w:rsidR="002F6ABF">
        <w:fldChar w:fldCharType="begin"/>
      </w:r>
      <w:r w:rsidR="002F6ABF">
        <w:instrText xml:space="preserve"> SEQ Proposal \* ARABIC </w:instrText>
      </w:r>
      <w:r w:rsidR="002F6ABF">
        <w:fldChar w:fldCharType="separate"/>
      </w:r>
      <w:r>
        <w:rPr>
          <w:noProof/>
        </w:rPr>
        <w:t>1</w:t>
      </w:r>
      <w:r w:rsidR="002F6ABF">
        <w:rPr>
          <w:noProof/>
        </w:rPr>
        <w:fldChar w:fldCharType="end"/>
      </w:r>
      <w:r>
        <w:rPr>
          <w:lang w:val="en-US"/>
        </w:rPr>
        <w:t xml:space="preserve">: </w:t>
      </w:r>
      <w:bookmarkEnd w:id="6"/>
      <w:r w:rsidR="00FE60DC" w:rsidRPr="00FE60DC">
        <w:rPr>
          <w:lang w:val="en-US"/>
        </w:rPr>
        <w:t xml:space="preserve">MRTD </w:t>
      </w:r>
      <w:r w:rsidR="008C7CBA">
        <w:rPr>
          <w:lang w:val="en-US"/>
        </w:rPr>
        <w:t xml:space="preserve">requirements for NCCA </w:t>
      </w:r>
      <w:r w:rsidR="00D726A9">
        <w:rPr>
          <w:lang w:val="en-US"/>
        </w:rPr>
        <w:t>is</w:t>
      </w:r>
      <w:r w:rsidR="008C7CBA">
        <w:rPr>
          <w:lang w:val="en-US"/>
        </w:rPr>
        <w:t xml:space="preserve"> not longer</w:t>
      </w:r>
      <w:r w:rsidR="00FE60DC" w:rsidRPr="00FE60DC">
        <w:rPr>
          <w:lang w:val="en-US"/>
        </w:rPr>
        <w:t xml:space="preserve"> </w:t>
      </w:r>
      <w:r w:rsidR="003821D5">
        <w:rPr>
          <w:lang w:val="en-US"/>
        </w:rPr>
        <w:t xml:space="preserve">than </w:t>
      </w:r>
      <w:r w:rsidR="00FE60DC" w:rsidRPr="00FE60DC">
        <w:rPr>
          <w:lang w:val="en-US"/>
        </w:rPr>
        <w:t>half CP of the larger SCS among the CC-es for FR2</w:t>
      </w:r>
      <w:r w:rsidR="003821D5">
        <w:rPr>
          <w:lang w:val="en-US"/>
        </w:rPr>
        <w:t xml:space="preserve">. </w:t>
      </w:r>
      <w:r w:rsidR="00D726A9" w:rsidRPr="00D726A9">
        <w:rPr>
          <w:lang w:val="en-US"/>
        </w:rPr>
        <w:t xml:space="preserve">MTTD should be kept </w:t>
      </w:r>
      <w:r w:rsidR="007D7B97">
        <w:rPr>
          <w:lang w:val="en-US"/>
        </w:rPr>
        <w:t xml:space="preserve">as </w:t>
      </w:r>
      <w:r w:rsidR="00D726A9" w:rsidRPr="00D726A9">
        <w:rPr>
          <w:lang w:val="en-US"/>
        </w:rPr>
        <w:t>0</w:t>
      </w:r>
      <w:r w:rsidR="00474107" w:rsidRPr="00474107">
        <w:rPr>
          <w:lang w:val="en-US"/>
        </w:rPr>
        <w:t>.</w:t>
      </w:r>
      <w:bookmarkEnd w:id="7"/>
    </w:p>
    <w:p w14:paraId="1248FB82" w14:textId="77777777" w:rsidR="00D67925" w:rsidRPr="00517B6B" w:rsidRDefault="00D67925" w:rsidP="00D67925">
      <w:pPr>
        <w:rPr>
          <w:lang w:eastAsia="x-none"/>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5A063FFB" w14:textId="1981372A" w:rsidR="005E4A4F" w:rsidRDefault="006F7557" w:rsidP="005D0BD9">
      <w:pPr>
        <w:adjustRightInd w:val="0"/>
        <w:snapToGrid w:val="0"/>
        <w:spacing w:before="180" w:after="120"/>
        <w:jc w:val="both"/>
      </w:pPr>
      <w:r w:rsidRPr="004D05A7">
        <w:rPr>
          <w:rFonts w:hint="eastAsia"/>
        </w:rPr>
        <w:t xml:space="preserve">In this </w:t>
      </w:r>
      <w:r w:rsidRPr="004D05A7">
        <w:t>paper,</w:t>
      </w:r>
      <w:r w:rsidR="00FB24ED">
        <w:rPr>
          <w:rFonts w:hint="eastAsia"/>
        </w:rPr>
        <w:t xml:space="preserve"> we discuss the impact of 3us MRTD requirement of FR2 NCCA on UE</w:t>
      </w:r>
      <w:r w:rsidR="00FB24ED">
        <w:t xml:space="preserve">’s Rx beam sweeping </w:t>
      </w:r>
      <w:r w:rsidR="005E4A4F">
        <w:t>and AGC gain adjustment</w:t>
      </w:r>
      <w:r w:rsidR="00FB24ED">
        <w:t>.</w:t>
      </w:r>
      <w:r w:rsidR="00052555">
        <w:t xml:space="preserve"> We have the following observations and proposal. </w:t>
      </w:r>
    </w:p>
    <w:p w14:paraId="0DD15E68" w14:textId="362F9AD0" w:rsidR="005E4A4F" w:rsidRPr="005E4A4F" w:rsidRDefault="005E4A4F" w:rsidP="005D0BD9">
      <w:pPr>
        <w:adjustRightInd w:val="0"/>
        <w:snapToGrid w:val="0"/>
        <w:spacing w:before="180" w:after="120"/>
        <w:jc w:val="both"/>
        <w:rPr>
          <w:b/>
          <w:i/>
        </w:rPr>
      </w:pPr>
      <w:r w:rsidRPr="005E4A4F">
        <w:rPr>
          <w:b/>
          <w:i/>
        </w:rPr>
        <w:fldChar w:fldCharType="begin"/>
      </w:r>
      <w:r w:rsidRPr="005E4A4F">
        <w:rPr>
          <w:b/>
          <w:i/>
        </w:rPr>
        <w:instrText xml:space="preserve"> REF _Ref536093667 \h  \* MERGEFORMAT </w:instrText>
      </w:r>
      <w:r w:rsidRPr="005E4A4F">
        <w:rPr>
          <w:b/>
          <w:i/>
        </w:rPr>
      </w:r>
      <w:r w:rsidRPr="005E4A4F">
        <w:rPr>
          <w:b/>
          <w:i/>
        </w:rPr>
        <w:fldChar w:fldCharType="separate"/>
      </w:r>
      <w:r w:rsidR="00083E1C" w:rsidRPr="00083E1C">
        <w:rPr>
          <w:b/>
          <w:i/>
        </w:rPr>
        <w:t>Observation 1: If the DL CP of intra-band NCCA in FR2 are not aligned, UE finds nowhere to switch its Rx beam and adjust LNA/PGA gain without impacting the data reception performance.</w:t>
      </w:r>
      <w:r w:rsidRPr="005E4A4F">
        <w:rPr>
          <w:b/>
          <w:i/>
        </w:rPr>
        <w:fldChar w:fldCharType="end"/>
      </w:r>
    </w:p>
    <w:p w14:paraId="6FEC61F2" w14:textId="28E78F72" w:rsidR="005E4A4F" w:rsidRPr="005E4A4F" w:rsidRDefault="005E4A4F" w:rsidP="005D0BD9">
      <w:pPr>
        <w:adjustRightInd w:val="0"/>
        <w:snapToGrid w:val="0"/>
        <w:spacing w:before="180" w:after="120"/>
        <w:jc w:val="both"/>
        <w:rPr>
          <w:b/>
          <w:i/>
        </w:rPr>
      </w:pPr>
      <w:r w:rsidRPr="005E4A4F">
        <w:rPr>
          <w:b/>
          <w:i/>
        </w:rPr>
        <w:fldChar w:fldCharType="begin"/>
      </w:r>
      <w:r w:rsidRPr="005E4A4F">
        <w:rPr>
          <w:b/>
          <w:i/>
        </w:rPr>
        <w:instrText xml:space="preserve"> REF _Ref536093669 \h  \* MERGEFORMAT </w:instrText>
      </w:r>
      <w:r w:rsidRPr="005E4A4F">
        <w:rPr>
          <w:b/>
          <w:i/>
        </w:rPr>
      </w:r>
      <w:r w:rsidRPr="005E4A4F">
        <w:rPr>
          <w:b/>
          <w:i/>
        </w:rPr>
        <w:fldChar w:fldCharType="separate"/>
      </w:r>
      <w:r w:rsidR="00083E1C" w:rsidRPr="00083E1C">
        <w:rPr>
          <w:b/>
          <w:i/>
        </w:rPr>
        <w:t>Observation 2: Keeping the existing requirements with allowing additional scheduling restriction in the 1st OFDM symbol of the next slot is not preferred. It may cause problem in decoding PDCCH, leading to missed DL and UL grants.</w:t>
      </w:r>
      <w:r w:rsidRPr="005E4A4F">
        <w:rPr>
          <w:b/>
          <w:i/>
        </w:rPr>
        <w:fldChar w:fldCharType="end"/>
      </w:r>
    </w:p>
    <w:p w14:paraId="3CD15BF9" w14:textId="329293A0" w:rsidR="005E4A4F" w:rsidRPr="005E4A4F" w:rsidRDefault="005E4A4F" w:rsidP="005D0BD9">
      <w:pPr>
        <w:adjustRightInd w:val="0"/>
        <w:snapToGrid w:val="0"/>
        <w:spacing w:before="180" w:after="120"/>
        <w:jc w:val="both"/>
        <w:rPr>
          <w:b/>
          <w:i/>
        </w:rPr>
      </w:pPr>
      <w:r w:rsidRPr="005E4A4F">
        <w:rPr>
          <w:b/>
          <w:i/>
        </w:rPr>
        <w:fldChar w:fldCharType="begin"/>
      </w:r>
      <w:r w:rsidRPr="005E4A4F">
        <w:rPr>
          <w:b/>
          <w:i/>
        </w:rPr>
        <w:instrText xml:space="preserve"> REF _Ref536093672 \h  \* MERGEFORMAT </w:instrText>
      </w:r>
      <w:r w:rsidRPr="005E4A4F">
        <w:rPr>
          <w:b/>
          <w:i/>
        </w:rPr>
      </w:r>
      <w:r w:rsidRPr="005E4A4F">
        <w:rPr>
          <w:b/>
          <w:i/>
        </w:rPr>
        <w:fldChar w:fldCharType="separate"/>
      </w:r>
      <w:r w:rsidR="00083E1C" w:rsidRPr="00083E1C">
        <w:rPr>
          <w:b/>
          <w:i/>
        </w:rPr>
        <w:t>Proposal 1: MRTD requirements for NCCA is not longer than half CP of the larger SCS among the CC-es for FR2. MTTD should be kept as 0.</w:t>
      </w:r>
      <w:r w:rsidRPr="005E4A4F">
        <w:rPr>
          <w:b/>
          <w:i/>
        </w:rPr>
        <w:fldChar w:fldCharType="end"/>
      </w:r>
    </w:p>
    <w:p w14:paraId="3943A132" w14:textId="6B4B55C6" w:rsidR="00627136" w:rsidRDefault="000F20AC" w:rsidP="00FB24ED">
      <w:pPr>
        <w:pStyle w:val="1"/>
        <w:numPr>
          <w:ilvl w:val="0"/>
          <w:numId w:val="2"/>
        </w:numPr>
        <w:rPr>
          <w:rFonts w:ascii="Calibri" w:hAnsi="Calibri"/>
        </w:rPr>
      </w:pPr>
      <w:r w:rsidRPr="000C45FD">
        <w:rPr>
          <w:rFonts w:ascii="Calibri" w:hAnsi="Calibri"/>
        </w:rPr>
        <w:t>References</w:t>
      </w:r>
    </w:p>
    <w:p w14:paraId="3581322F" w14:textId="6BB79B33" w:rsidR="00A56A50" w:rsidRPr="00A56A50" w:rsidRDefault="00A56A50" w:rsidP="00A56A50">
      <w:pPr>
        <w:rPr>
          <w:lang w:val="en-GB" w:eastAsia="en-US"/>
        </w:rPr>
      </w:pPr>
      <w:r>
        <w:rPr>
          <w:rFonts w:hint="eastAsia"/>
          <w:lang w:val="en-GB" w:eastAsia="en-US"/>
        </w:rPr>
        <w:t xml:space="preserve">[1] R4-1816126, </w:t>
      </w:r>
      <w:r>
        <w:rPr>
          <w:lang w:val="en-GB" w:eastAsia="en-US"/>
        </w:rPr>
        <w:t>“</w:t>
      </w:r>
      <w:r w:rsidRPr="00A56A50">
        <w:rPr>
          <w:lang w:eastAsia="en-US"/>
        </w:rPr>
        <w:t>Wayforward on UE Rx beam switch under FR2 intra-band NCCA MRTD</w:t>
      </w:r>
      <w:r>
        <w:rPr>
          <w:lang w:val="en-GB" w:eastAsia="en-US"/>
        </w:rPr>
        <w:t>”, MediaTek inc.</w:t>
      </w:r>
    </w:p>
    <w:sectPr w:rsidR="00A56A50" w:rsidRPr="00A56A5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2AFC0" w14:textId="77777777" w:rsidR="00C57E15" w:rsidRDefault="00C57E15">
      <w:r>
        <w:separator/>
      </w:r>
    </w:p>
  </w:endnote>
  <w:endnote w:type="continuationSeparator" w:id="0">
    <w:p w14:paraId="01EAE926" w14:textId="77777777" w:rsidR="00C57E15" w:rsidRDefault="00C57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D863B" w14:textId="77777777" w:rsidR="00C57E15" w:rsidRDefault="00C57E15">
      <w:r>
        <w:separator/>
      </w:r>
    </w:p>
  </w:footnote>
  <w:footnote w:type="continuationSeparator" w:id="0">
    <w:p w14:paraId="74480D2F" w14:textId="77777777" w:rsidR="00C57E15" w:rsidRDefault="00C57E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9E7B6B"/>
    <w:multiLevelType w:val="hybridMultilevel"/>
    <w:tmpl w:val="72B06286"/>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25"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3"/>
  </w:num>
  <w:num w:numId="3">
    <w:abstractNumId w:val="12"/>
  </w:num>
  <w:num w:numId="4">
    <w:abstractNumId w:val="16"/>
  </w:num>
  <w:num w:numId="5">
    <w:abstractNumId w:val="17"/>
  </w:num>
  <w:num w:numId="6">
    <w:abstractNumId w:val="4"/>
  </w:num>
  <w:num w:numId="7">
    <w:abstractNumId w:val="11"/>
  </w:num>
  <w:num w:numId="8">
    <w:abstractNumId w:val="21"/>
  </w:num>
  <w:num w:numId="9">
    <w:abstractNumId w:val="9"/>
  </w:num>
  <w:num w:numId="10">
    <w:abstractNumId w:val="0"/>
  </w:num>
  <w:num w:numId="11">
    <w:abstractNumId w:val="10"/>
  </w:num>
  <w:num w:numId="12">
    <w:abstractNumId w:val="14"/>
  </w:num>
  <w:num w:numId="13">
    <w:abstractNumId w:val="1"/>
  </w:num>
  <w:num w:numId="14">
    <w:abstractNumId w:val="27"/>
  </w:num>
  <w:num w:numId="15">
    <w:abstractNumId w:val="8"/>
  </w:num>
  <w:num w:numId="16">
    <w:abstractNumId w:val="3"/>
  </w:num>
  <w:num w:numId="17">
    <w:abstractNumId w:val="19"/>
  </w:num>
  <w:num w:numId="18">
    <w:abstractNumId w:val="26"/>
  </w:num>
  <w:num w:numId="19">
    <w:abstractNumId w:val="13"/>
  </w:num>
  <w:num w:numId="20">
    <w:abstractNumId w:val="6"/>
  </w:num>
  <w:num w:numId="21">
    <w:abstractNumId w:val="25"/>
  </w:num>
  <w:num w:numId="22">
    <w:abstractNumId w:val="20"/>
  </w:num>
  <w:num w:numId="23">
    <w:abstractNumId w:val="5"/>
  </w:num>
  <w:num w:numId="24">
    <w:abstractNumId w:val="2"/>
  </w:num>
  <w:num w:numId="25">
    <w:abstractNumId w:val="15"/>
  </w:num>
  <w:num w:numId="26">
    <w:abstractNumId w:val="24"/>
  </w:num>
  <w:num w:numId="27">
    <w:abstractNumId w:val="18"/>
  </w:num>
  <w:num w:numId="2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58B6"/>
    <w:rsid w:val="00025AD5"/>
    <w:rsid w:val="00025CAB"/>
    <w:rsid w:val="0002622D"/>
    <w:rsid w:val="00026808"/>
    <w:rsid w:val="00026819"/>
    <w:rsid w:val="0002728F"/>
    <w:rsid w:val="00027CD8"/>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0C4"/>
    <w:rsid w:val="00052255"/>
    <w:rsid w:val="00052555"/>
    <w:rsid w:val="000528A2"/>
    <w:rsid w:val="000528F0"/>
    <w:rsid w:val="00052AD9"/>
    <w:rsid w:val="00053676"/>
    <w:rsid w:val="000536DE"/>
    <w:rsid w:val="000539B0"/>
    <w:rsid w:val="00053BE5"/>
    <w:rsid w:val="00054850"/>
    <w:rsid w:val="00054D7E"/>
    <w:rsid w:val="00055006"/>
    <w:rsid w:val="000559F7"/>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00C"/>
    <w:rsid w:val="000641A5"/>
    <w:rsid w:val="000644F6"/>
    <w:rsid w:val="00064AD3"/>
    <w:rsid w:val="00064E12"/>
    <w:rsid w:val="00064EE8"/>
    <w:rsid w:val="00065792"/>
    <w:rsid w:val="00066665"/>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E1C"/>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72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38E"/>
    <w:rsid w:val="000D38C0"/>
    <w:rsid w:val="000D3912"/>
    <w:rsid w:val="000D4B1B"/>
    <w:rsid w:val="000D56E8"/>
    <w:rsid w:val="000D59AC"/>
    <w:rsid w:val="000D5A2D"/>
    <w:rsid w:val="000D6626"/>
    <w:rsid w:val="000D6D54"/>
    <w:rsid w:val="000D6FFB"/>
    <w:rsid w:val="000D72E7"/>
    <w:rsid w:val="000D7412"/>
    <w:rsid w:val="000D7D65"/>
    <w:rsid w:val="000E0C7D"/>
    <w:rsid w:val="000E0F3C"/>
    <w:rsid w:val="000E14B3"/>
    <w:rsid w:val="000E166B"/>
    <w:rsid w:val="000E1BB5"/>
    <w:rsid w:val="000E27CF"/>
    <w:rsid w:val="000E2FAF"/>
    <w:rsid w:val="000E3216"/>
    <w:rsid w:val="000E3D57"/>
    <w:rsid w:val="000E448C"/>
    <w:rsid w:val="000E4D00"/>
    <w:rsid w:val="000E548D"/>
    <w:rsid w:val="000E5BD3"/>
    <w:rsid w:val="000E6E5C"/>
    <w:rsid w:val="000E706C"/>
    <w:rsid w:val="000E7AFA"/>
    <w:rsid w:val="000F0786"/>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969"/>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7F"/>
    <w:rsid w:val="0011780E"/>
    <w:rsid w:val="00117DA7"/>
    <w:rsid w:val="00120801"/>
    <w:rsid w:val="00120888"/>
    <w:rsid w:val="00120E91"/>
    <w:rsid w:val="001216D3"/>
    <w:rsid w:val="00121BA2"/>
    <w:rsid w:val="00121E5E"/>
    <w:rsid w:val="0012222B"/>
    <w:rsid w:val="001224A0"/>
    <w:rsid w:val="001228AF"/>
    <w:rsid w:val="00123511"/>
    <w:rsid w:val="00123768"/>
    <w:rsid w:val="00123E28"/>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619B"/>
    <w:rsid w:val="0014667F"/>
    <w:rsid w:val="00146E8E"/>
    <w:rsid w:val="00147269"/>
    <w:rsid w:val="0014747E"/>
    <w:rsid w:val="001501F9"/>
    <w:rsid w:val="00150222"/>
    <w:rsid w:val="0015087F"/>
    <w:rsid w:val="00151039"/>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B02"/>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01"/>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9F0"/>
    <w:rsid w:val="001B7D8D"/>
    <w:rsid w:val="001B7F8C"/>
    <w:rsid w:val="001C016A"/>
    <w:rsid w:val="001C0683"/>
    <w:rsid w:val="001C0784"/>
    <w:rsid w:val="001C0C81"/>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830"/>
    <w:rsid w:val="001D3864"/>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D7C85"/>
    <w:rsid w:val="001E0189"/>
    <w:rsid w:val="001E05E3"/>
    <w:rsid w:val="001E0735"/>
    <w:rsid w:val="001E0B40"/>
    <w:rsid w:val="001E12E8"/>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69C4"/>
    <w:rsid w:val="00207064"/>
    <w:rsid w:val="00207CC5"/>
    <w:rsid w:val="00207D20"/>
    <w:rsid w:val="00207ED9"/>
    <w:rsid w:val="002104D2"/>
    <w:rsid w:val="00210691"/>
    <w:rsid w:val="00210967"/>
    <w:rsid w:val="002113D4"/>
    <w:rsid w:val="002120D2"/>
    <w:rsid w:val="00212D47"/>
    <w:rsid w:val="00212DAD"/>
    <w:rsid w:val="0021369D"/>
    <w:rsid w:val="002140D6"/>
    <w:rsid w:val="002141D8"/>
    <w:rsid w:val="00214711"/>
    <w:rsid w:val="002149AF"/>
    <w:rsid w:val="00214E33"/>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33"/>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35"/>
    <w:rsid w:val="00280062"/>
    <w:rsid w:val="002801D5"/>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6E7"/>
    <w:rsid w:val="002907BA"/>
    <w:rsid w:val="002910EE"/>
    <w:rsid w:val="00291505"/>
    <w:rsid w:val="0029170E"/>
    <w:rsid w:val="00291EC7"/>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4E2"/>
    <w:rsid w:val="002A6A9E"/>
    <w:rsid w:val="002A6F00"/>
    <w:rsid w:val="002A7275"/>
    <w:rsid w:val="002A73F2"/>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198"/>
    <w:rsid w:val="0031252F"/>
    <w:rsid w:val="0031324F"/>
    <w:rsid w:val="00313269"/>
    <w:rsid w:val="00313A9A"/>
    <w:rsid w:val="00313CB0"/>
    <w:rsid w:val="00313F96"/>
    <w:rsid w:val="00314CD0"/>
    <w:rsid w:val="00314D5F"/>
    <w:rsid w:val="00314E50"/>
    <w:rsid w:val="00314E6B"/>
    <w:rsid w:val="00314F76"/>
    <w:rsid w:val="003159C3"/>
    <w:rsid w:val="00315DDF"/>
    <w:rsid w:val="00316164"/>
    <w:rsid w:val="00316B4F"/>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A0"/>
    <w:rsid w:val="00334C64"/>
    <w:rsid w:val="00334FCF"/>
    <w:rsid w:val="003350C7"/>
    <w:rsid w:val="00335473"/>
    <w:rsid w:val="00335F0B"/>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21D5"/>
    <w:rsid w:val="00382BF6"/>
    <w:rsid w:val="00383AF2"/>
    <w:rsid w:val="00384091"/>
    <w:rsid w:val="00384126"/>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333"/>
    <w:rsid w:val="00397F8E"/>
    <w:rsid w:val="00397FE0"/>
    <w:rsid w:val="003A052A"/>
    <w:rsid w:val="003A082E"/>
    <w:rsid w:val="003A0997"/>
    <w:rsid w:val="003A123F"/>
    <w:rsid w:val="003A1678"/>
    <w:rsid w:val="003A169E"/>
    <w:rsid w:val="003A1882"/>
    <w:rsid w:val="003A1FF4"/>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375"/>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1A7"/>
    <w:rsid w:val="003E2734"/>
    <w:rsid w:val="003E32E1"/>
    <w:rsid w:val="003E3655"/>
    <w:rsid w:val="003E3963"/>
    <w:rsid w:val="003E4083"/>
    <w:rsid w:val="003E4570"/>
    <w:rsid w:val="003E4FE6"/>
    <w:rsid w:val="003E52D4"/>
    <w:rsid w:val="003E5F5C"/>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630"/>
    <w:rsid w:val="00411677"/>
    <w:rsid w:val="0041206D"/>
    <w:rsid w:val="00412505"/>
    <w:rsid w:val="00412CFA"/>
    <w:rsid w:val="004136E4"/>
    <w:rsid w:val="00413B98"/>
    <w:rsid w:val="00413D12"/>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4E36"/>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8FC"/>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5E7A"/>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7694"/>
    <w:rsid w:val="004979ED"/>
    <w:rsid w:val="00497A9D"/>
    <w:rsid w:val="00497F88"/>
    <w:rsid w:val="004A0557"/>
    <w:rsid w:val="004A0659"/>
    <w:rsid w:val="004A0EAE"/>
    <w:rsid w:val="004A1A52"/>
    <w:rsid w:val="004A1A55"/>
    <w:rsid w:val="004A1E2A"/>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FCB"/>
    <w:rsid w:val="004B36B5"/>
    <w:rsid w:val="004B39AB"/>
    <w:rsid w:val="004B3D07"/>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64EC"/>
    <w:rsid w:val="004F72FD"/>
    <w:rsid w:val="004F76E2"/>
    <w:rsid w:val="004F7890"/>
    <w:rsid w:val="00500815"/>
    <w:rsid w:val="00501B1E"/>
    <w:rsid w:val="00502410"/>
    <w:rsid w:val="00503196"/>
    <w:rsid w:val="005032CB"/>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17B6B"/>
    <w:rsid w:val="005206FA"/>
    <w:rsid w:val="00520899"/>
    <w:rsid w:val="00521084"/>
    <w:rsid w:val="00521BFC"/>
    <w:rsid w:val="00522281"/>
    <w:rsid w:val="00522391"/>
    <w:rsid w:val="005237A4"/>
    <w:rsid w:val="00523F0C"/>
    <w:rsid w:val="00524AC6"/>
    <w:rsid w:val="00524DC5"/>
    <w:rsid w:val="0052545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AEE"/>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BDC"/>
    <w:rsid w:val="00577C07"/>
    <w:rsid w:val="00577E2B"/>
    <w:rsid w:val="00580536"/>
    <w:rsid w:val="00580926"/>
    <w:rsid w:val="0058128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C84"/>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A4F"/>
    <w:rsid w:val="005E4C5C"/>
    <w:rsid w:val="005E5A6D"/>
    <w:rsid w:val="005E6405"/>
    <w:rsid w:val="005E65D7"/>
    <w:rsid w:val="005E672F"/>
    <w:rsid w:val="005E73FA"/>
    <w:rsid w:val="005E73FB"/>
    <w:rsid w:val="005E7408"/>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007"/>
    <w:rsid w:val="00636652"/>
    <w:rsid w:val="00636A83"/>
    <w:rsid w:val="00636D20"/>
    <w:rsid w:val="00636D5B"/>
    <w:rsid w:val="00637183"/>
    <w:rsid w:val="0063728F"/>
    <w:rsid w:val="00640576"/>
    <w:rsid w:val="00640F4F"/>
    <w:rsid w:val="00641620"/>
    <w:rsid w:val="006416EC"/>
    <w:rsid w:val="00641B69"/>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5002A"/>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D57"/>
    <w:rsid w:val="00675E39"/>
    <w:rsid w:val="00675E56"/>
    <w:rsid w:val="006764F7"/>
    <w:rsid w:val="00676527"/>
    <w:rsid w:val="00676BDC"/>
    <w:rsid w:val="00676E96"/>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1EBE"/>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BC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75"/>
    <w:rsid w:val="0072442F"/>
    <w:rsid w:val="00724849"/>
    <w:rsid w:val="007253FE"/>
    <w:rsid w:val="00725FE9"/>
    <w:rsid w:val="00726200"/>
    <w:rsid w:val="00726285"/>
    <w:rsid w:val="00726344"/>
    <w:rsid w:val="00726439"/>
    <w:rsid w:val="00726C6F"/>
    <w:rsid w:val="00727DF5"/>
    <w:rsid w:val="00727FD1"/>
    <w:rsid w:val="00731F3E"/>
    <w:rsid w:val="00732810"/>
    <w:rsid w:val="00733392"/>
    <w:rsid w:val="007340AC"/>
    <w:rsid w:val="0073413F"/>
    <w:rsid w:val="00735A2C"/>
    <w:rsid w:val="007363C3"/>
    <w:rsid w:val="007365E3"/>
    <w:rsid w:val="00737667"/>
    <w:rsid w:val="00737DB0"/>
    <w:rsid w:val="00737EE8"/>
    <w:rsid w:val="007407E7"/>
    <w:rsid w:val="00740B1F"/>
    <w:rsid w:val="00740BB2"/>
    <w:rsid w:val="00740C6C"/>
    <w:rsid w:val="00740D3C"/>
    <w:rsid w:val="007410F3"/>
    <w:rsid w:val="00741127"/>
    <w:rsid w:val="00741C21"/>
    <w:rsid w:val="00741CC4"/>
    <w:rsid w:val="00741D42"/>
    <w:rsid w:val="0074224C"/>
    <w:rsid w:val="0074227A"/>
    <w:rsid w:val="00743083"/>
    <w:rsid w:val="007438F4"/>
    <w:rsid w:val="00743F02"/>
    <w:rsid w:val="007440A3"/>
    <w:rsid w:val="007445F4"/>
    <w:rsid w:val="00744C28"/>
    <w:rsid w:val="00744C54"/>
    <w:rsid w:val="00745595"/>
    <w:rsid w:val="007455B8"/>
    <w:rsid w:val="00745693"/>
    <w:rsid w:val="00745E3C"/>
    <w:rsid w:val="00746196"/>
    <w:rsid w:val="007463DC"/>
    <w:rsid w:val="00746B6D"/>
    <w:rsid w:val="00746C03"/>
    <w:rsid w:val="00746D00"/>
    <w:rsid w:val="00747BCC"/>
    <w:rsid w:val="00747DC7"/>
    <w:rsid w:val="00751180"/>
    <w:rsid w:val="007515B7"/>
    <w:rsid w:val="0075186B"/>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9FE"/>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FDB"/>
    <w:rsid w:val="007A7FF4"/>
    <w:rsid w:val="007B0496"/>
    <w:rsid w:val="007B0776"/>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87"/>
    <w:rsid w:val="007D3A69"/>
    <w:rsid w:val="007D3B6C"/>
    <w:rsid w:val="007D43D4"/>
    <w:rsid w:val="007D4A01"/>
    <w:rsid w:val="007D51B4"/>
    <w:rsid w:val="007D536F"/>
    <w:rsid w:val="007D55FD"/>
    <w:rsid w:val="007D5D3E"/>
    <w:rsid w:val="007D689B"/>
    <w:rsid w:val="007D6DFF"/>
    <w:rsid w:val="007D711D"/>
    <w:rsid w:val="007D7ABB"/>
    <w:rsid w:val="007D7B97"/>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51D"/>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49BD"/>
    <w:rsid w:val="00814A98"/>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07D4"/>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C1F"/>
    <w:rsid w:val="008815D1"/>
    <w:rsid w:val="0088190E"/>
    <w:rsid w:val="00881920"/>
    <w:rsid w:val="00881A9A"/>
    <w:rsid w:val="00881C68"/>
    <w:rsid w:val="008823AA"/>
    <w:rsid w:val="00882419"/>
    <w:rsid w:val="00882911"/>
    <w:rsid w:val="00882EC6"/>
    <w:rsid w:val="00883F87"/>
    <w:rsid w:val="0088427B"/>
    <w:rsid w:val="00884A01"/>
    <w:rsid w:val="00884B2B"/>
    <w:rsid w:val="0088525C"/>
    <w:rsid w:val="0088530F"/>
    <w:rsid w:val="00885683"/>
    <w:rsid w:val="00885DFA"/>
    <w:rsid w:val="00886015"/>
    <w:rsid w:val="0088613E"/>
    <w:rsid w:val="00886210"/>
    <w:rsid w:val="008866D7"/>
    <w:rsid w:val="008868BC"/>
    <w:rsid w:val="008869C6"/>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CBA"/>
    <w:rsid w:val="008D0DAD"/>
    <w:rsid w:val="008D1338"/>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27B"/>
    <w:rsid w:val="008E63D4"/>
    <w:rsid w:val="008E68DE"/>
    <w:rsid w:val="008E75C0"/>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84F"/>
    <w:rsid w:val="0091294E"/>
    <w:rsid w:val="00912D6F"/>
    <w:rsid w:val="009132E6"/>
    <w:rsid w:val="00913834"/>
    <w:rsid w:val="0091441D"/>
    <w:rsid w:val="00914594"/>
    <w:rsid w:val="00914C32"/>
    <w:rsid w:val="0091519C"/>
    <w:rsid w:val="009152E9"/>
    <w:rsid w:val="00915AB7"/>
    <w:rsid w:val="00915B81"/>
    <w:rsid w:val="00915E48"/>
    <w:rsid w:val="00916157"/>
    <w:rsid w:val="0091704E"/>
    <w:rsid w:val="009175A3"/>
    <w:rsid w:val="009178AE"/>
    <w:rsid w:val="00917C15"/>
    <w:rsid w:val="00920223"/>
    <w:rsid w:val="009206A4"/>
    <w:rsid w:val="009211DD"/>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D5D"/>
    <w:rsid w:val="009C2DD2"/>
    <w:rsid w:val="009C357D"/>
    <w:rsid w:val="009C38DD"/>
    <w:rsid w:val="009C3AD7"/>
    <w:rsid w:val="009C3BD9"/>
    <w:rsid w:val="009C3D52"/>
    <w:rsid w:val="009C46E7"/>
    <w:rsid w:val="009C4EB2"/>
    <w:rsid w:val="009C51D5"/>
    <w:rsid w:val="009C56FA"/>
    <w:rsid w:val="009C57B6"/>
    <w:rsid w:val="009C5B86"/>
    <w:rsid w:val="009C6173"/>
    <w:rsid w:val="009C6B52"/>
    <w:rsid w:val="009C7119"/>
    <w:rsid w:val="009C760A"/>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444"/>
    <w:rsid w:val="009E4C48"/>
    <w:rsid w:val="009E5589"/>
    <w:rsid w:val="009E5AF5"/>
    <w:rsid w:val="009E5CBA"/>
    <w:rsid w:val="009E627D"/>
    <w:rsid w:val="009E6EEE"/>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729F"/>
    <w:rsid w:val="00A17410"/>
    <w:rsid w:val="00A2024B"/>
    <w:rsid w:val="00A20D44"/>
    <w:rsid w:val="00A217F4"/>
    <w:rsid w:val="00A2186C"/>
    <w:rsid w:val="00A21C59"/>
    <w:rsid w:val="00A22CD3"/>
    <w:rsid w:val="00A22DFE"/>
    <w:rsid w:val="00A23174"/>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0569"/>
    <w:rsid w:val="00AE2227"/>
    <w:rsid w:val="00AE29C9"/>
    <w:rsid w:val="00AE2A3B"/>
    <w:rsid w:val="00AE2B4E"/>
    <w:rsid w:val="00AE2E23"/>
    <w:rsid w:val="00AE2E7D"/>
    <w:rsid w:val="00AE3BDD"/>
    <w:rsid w:val="00AE3F89"/>
    <w:rsid w:val="00AE4244"/>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96C"/>
    <w:rsid w:val="00B12DF5"/>
    <w:rsid w:val="00B12F00"/>
    <w:rsid w:val="00B13CF8"/>
    <w:rsid w:val="00B14F9D"/>
    <w:rsid w:val="00B1513F"/>
    <w:rsid w:val="00B15201"/>
    <w:rsid w:val="00B157F6"/>
    <w:rsid w:val="00B158B2"/>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7B69"/>
    <w:rsid w:val="00B3000E"/>
    <w:rsid w:val="00B304F9"/>
    <w:rsid w:val="00B30738"/>
    <w:rsid w:val="00B30BE3"/>
    <w:rsid w:val="00B313CD"/>
    <w:rsid w:val="00B31B31"/>
    <w:rsid w:val="00B31C46"/>
    <w:rsid w:val="00B31EE1"/>
    <w:rsid w:val="00B31FBE"/>
    <w:rsid w:val="00B32677"/>
    <w:rsid w:val="00B34B83"/>
    <w:rsid w:val="00B34D47"/>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3347"/>
    <w:rsid w:val="00B435DA"/>
    <w:rsid w:val="00B43E31"/>
    <w:rsid w:val="00B43F99"/>
    <w:rsid w:val="00B443A3"/>
    <w:rsid w:val="00B449A9"/>
    <w:rsid w:val="00B44A60"/>
    <w:rsid w:val="00B44FEF"/>
    <w:rsid w:val="00B4501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3AE"/>
    <w:rsid w:val="00B706F0"/>
    <w:rsid w:val="00B707C0"/>
    <w:rsid w:val="00B70CA2"/>
    <w:rsid w:val="00B71077"/>
    <w:rsid w:val="00B7162F"/>
    <w:rsid w:val="00B7244D"/>
    <w:rsid w:val="00B72521"/>
    <w:rsid w:val="00B7267A"/>
    <w:rsid w:val="00B72F96"/>
    <w:rsid w:val="00B73176"/>
    <w:rsid w:val="00B73286"/>
    <w:rsid w:val="00B73AA5"/>
    <w:rsid w:val="00B73B8A"/>
    <w:rsid w:val="00B74751"/>
    <w:rsid w:val="00B75E12"/>
    <w:rsid w:val="00B760F4"/>
    <w:rsid w:val="00B764A7"/>
    <w:rsid w:val="00B765C6"/>
    <w:rsid w:val="00B76C45"/>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2066"/>
    <w:rsid w:val="00BA2794"/>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401B"/>
    <w:rsid w:val="00BC5111"/>
    <w:rsid w:val="00BC5AA7"/>
    <w:rsid w:val="00BC5F96"/>
    <w:rsid w:val="00BC613B"/>
    <w:rsid w:val="00BC655E"/>
    <w:rsid w:val="00BC6642"/>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C6B"/>
    <w:rsid w:val="00BF00E1"/>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06B"/>
    <w:rsid w:val="00C23D53"/>
    <w:rsid w:val="00C23E31"/>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EA6"/>
    <w:rsid w:val="00C40733"/>
    <w:rsid w:val="00C408D7"/>
    <w:rsid w:val="00C40A25"/>
    <w:rsid w:val="00C40B42"/>
    <w:rsid w:val="00C41B25"/>
    <w:rsid w:val="00C41C6D"/>
    <w:rsid w:val="00C41EA0"/>
    <w:rsid w:val="00C41F77"/>
    <w:rsid w:val="00C42032"/>
    <w:rsid w:val="00C42AE8"/>
    <w:rsid w:val="00C42B20"/>
    <w:rsid w:val="00C43875"/>
    <w:rsid w:val="00C43FF0"/>
    <w:rsid w:val="00C44DCB"/>
    <w:rsid w:val="00C45063"/>
    <w:rsid w:val="00C452B1"/>
    <w:rsid w:val="00C45344"/>
    <w:rsid w:val="00C4587F"/>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E1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20B"/>
    <w:rsid w:val="00C7336E"/>
    <w:rsid w:val="00C73A32"/>
    <w:rsid w:val="00C73C4F"/>
    <w:rsid w:val="00C743B0"/>
    <w:rsid w:val="00C743B1"/>
    <w:rsid w:val="00C7449E"/>
    <w:rsid w:val="00C7488B"/>
    <w:rsid w:val="00C749A2"/>
    <w:rsid w:val="00C74B87"/>
    <w:rsid w:val="00C74E4F"/>
    <w:rsid w:val="00C75844"/>
    <w:rsid w:val="00C75949"/>
    <w:rsid w:val="00C765EF"/>
    <w:rsid w:val="00C76E32"/>
    <w:rsid w:val="00C7701D"/>
    <w:rsid w:val="00C77675"/>
    <w:rsid w:val="00C778EA"/>
    <w:rsid w:val="00C77C25"/>
    <w:rsid w:val="00C77EA1"/>
    <w:rsid w:val="00C8069B"/>
    <w:rsid w:val="00C80C7A"/>
    <w:rsid w:val="00C80E46"/>
    <w:rsid w:val="00C81246"/>
    <w:rsid w:val="00C816B6"/>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1AD"/>
    <w:rsid w:val="00CC06A3"/>
    <w:rsid w:val="00CC06F4"/>
    <w:rsid w:val="00CC0B75"/>
    <w:rsid w:val="00CC19A9"/>
    <w:rsid w:val="00CC2635"/>
    <w:rsid w:val="00CC2AE9"/>
    <w:rsid w:val="00CC3230"/>
    <w:rsid w:val="00CC3575"/>
    <w:rsid w:val="00CC3D1B"/>
    <w:rsid w:val="00CC4465"/>
    <w:rsid w:val="00CC4583"/>
    <w:rsid w:val="00CC55CE"/>
    <w:rsid w:val="00CC5D0C"/>
    <w:rsid w:val="00CC5E1E"/>
    <w:rsid w:val="00CC65C0"/>
    <w:rsid w:val="00CC6F5C"/>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21A"/>
    <w:rsid w:val="00D105DB"/>
    <w:rsid w:val="00D10919"/>
    <w:rsid w:val="00D110AE"/>
    <w:rsid w:val="00D11359"/>
    <w:rsid w:val="00D11641"/>
    <w:rsid w:val="00D11E76"/>
    <w:rsid w:val="00D11FC2"/>
    <w:rsid w:val="00D12557"/>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6A9"/>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7E3"/>
    <w:rsid w:val="00D8085C"/>
    <w:rsid w:val="00D8098F"/>
    <w:rsid w:val="00D80FF4"/>
    <w:rsid w:val="00D81169"/>
    <w:rsid w:val="00D82104"/>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52F"/>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978"/>
    <w:rsid w:val="00DE5C38"/>
    <w:rsid w:val="00DE640B"/>
    <w:rsid w:val="00DE6DA4"/>
    <w:rsid w:val="00DE7B44"/>
    <w:rsid w:val="00DE7BE6"/>
    <w:rsid w:val="00DE7E37"/>
    <w:rsid w:val="00DE7E98"/>
    <w:rsid w:val="00DE7F7A"/>
    <w:rsid w:val="00DF0186"/>
    <w:rsid w:val="00DF032F"/>
    <w:rsid w:val="00DF0AC6"/>
    <w:rsid w:val="00DF0F31"/>
    <w:rsid w:val="00DF146E"/>
    <w:rsid w:val="00DF15B6"/>
    <w:rsid w:val="00DF3DD5"/>
    <w:rsid w:val="00DF42F3"/>
    <w:rsid w:val="00DF574A"/>
    <w:rsid w:val="00DF5D9C"/>
    <w:rsid w:val="00DF63EF"/>
    <w:rsid w:val="00DF70DF"/>
    <w:rsid w:val="00DF7649"/>
    <w:rsid w:val="00DF76D5"/>
    <w:rsid w:val="00DF782F"/>
    <w:rsid w:val="00E00405"/>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6E"/>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C51"/>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3B6"/>
    <w:rsid w:val="00E937B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1A3D"/>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C3"/>
    <w:rsid w:val="00EF25CA"/>
    <w:rsid w:val="00EF272B"/>
    <w:rsid w:val="00EF3325"/>
    <w:rsid w:val="00EF3390"/>
    <w:rsid w:val="00EF3499"/>
    <w:rsid w:val="00EF47C7"/>
    <w:rsid w:val="00EF4858"/>
    <w:rsid w:val="00EF5A32"/>
    <w:rsid w:val="00EF5B80"/>
    <w:rsid w:val="00EF6954"/>
    <w:rsid w:val="00F00766"/>
    <w:rsid w:val="00F00BEB"/>
    <w:rsid w:val="00F00CE2"/>
    <w:rsid w:val="00F00D60"/>
    <w:rsid w:val="00F01450"/>
    <w:rsid w:val="00F01535"/>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B4"/>
    <w:rsid w:val="00F15F33"/>
    <w:rsid w:val="00F1672E"/>
    <w:rsid w:val="00F16BAF"/>
    <w:rsid w:val="00F16D27"/>
    <w:rsid w:val="00F17876"/>
    <w:rsid w:val="00F179C6"/>
    <w:rsid w:val="00F20542"/>
    <w:rsid w:val="00F205F3"/>
    <w:rsid w:val="00F2061C"/>
    <w:rsid w:val="00F20C59"/>
    <w:rsid w:val="00F21147"/>
    <w:rsid w:val="00F2117E"/>
    <w:rsid w:val="00F211AE"/>
    <w:rsid w:val="00F211C8"/>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423B"/>
    <w:rsid w:val="00F343E8"/>
    <w:rsid w:val="00F349F2"/>
    <w:rsid w:val="00F364BA"/>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2E8"/>
    <w:rsid w:val="00F71595"/>
    <w:rsid w:val="00F7171B"/>
    <w:rsid w:val="00F71FA3"/>
    <w:rsid w:val="00F72374"/>
    <w:rsid w:val="00F723AE"/>
    <w:rsid w:val="00F726A0"/>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9C8"/>
    <w:rsid w:val="00FD3D0B"/>
    <w:rsid w:val="00FD3DB9"/>
    <w:rsid w:val="00FD409B"/>
    <w:rsid w:val="00FD4777"/>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0DC"/>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A3D"/>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D1A3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D1A3D"/>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lang w:eastAsia="zh-CN"/>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CDC5C-CF9E-45EF-9104-BB96C08EE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854</Words>
  <Characters>4873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2018-08-06T03:11:00Z</dcterms:created>
  <dcterms:modified xsi:type="dcterms:W3CDTF">2019-04-01T11:25:00Z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